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B1FA" w14:textId="77777777" w:rsidR="008E79E1" w:rsidRPr="0013481B" w:rsidRDefault="008E79E1" w:rsidP="0013481B">
      <w:pPr>
        <w:bidi w:val="0"/>
        <w:jc w:val="right"/>
        <w:rPr>
          <w:rFonts w:asciiTheme="majorBidi" w:eastAsia="David" w:hAnsiTheme="majorBidi" w:cstheme="majorBidi"/>
          <w:sz w:val="24"/>
          <w:szCs w:val="24"/>
        </w:rPr>
      </w:pPr>
    </w:p>
    <w:p w14:paraId="7C1C933E" w14:textId="77777777" w:rsidR="004F3DCD" w:rsidRPr="0013481B" w:rsidRDefault="000A2499" w:rsidP="0013481B">
      <w:pPr>
        <w:bidi w:val="0"/>
        <w:jc w:val="right"/>
        <w:rPr>
          <w:rFonts w:asciiTheme="majorBidi" w:eastAsia="David" w:hAnsiTheme="majorBidi" w:cstheme="majorBidi"/>
          <w:b/>
          <w:bCs/>
          <w:sz w:val="24"/>
          <w:szCs w:val="24"/>
          <w:rtl/>
        </w:rPr>
      </w:pPr>
      <w:r w:rsidRPr="0013481B">
        <w:rPr>
          <w:rFonts w:asciiTheme="majorBidi" w:eastAsia="David" w:hAnsiTheme="majorBidi" w:cstheme="majorBidi"/>
          <w:sz w:val="24"/>
          <w:szCs w:val="24"/>
          <w:lang w:val="en"/>
        </w:rPr>
        <w:t xml:space="preserve"> </w:t>
      </w:r>
      <w:r w:rsidRPr="0013481B">
        <w:rPr>
          <w:rFonts w:asciiTheme="majorBidi" w:hAnsiTheme="majorBidi" w:cstheme="majorBidi"/>
          <w:b/>
          <w:bCs/>
          <w:lang w:val="en"/>
        </w:rPr>
        <w:t xml:space="preserve">March 13, 2019 </w:t>
      </w:r>
    </w:p>
    <w:p w14:paraId="6F49A00A" w14:textId="77777777" w:rsidR="00F873D8" w:rsidRPr="0013481B" w:rsidRDefault="0051407D" w:rsidP="0013481B">
      <w:pPr>
        <w:bidi w:val="0"/>
        <w:jc w:val="center"/>
        <w:rPr>
          <w:rFonts w:asciiTheme="majorBidi" w:eastAsia="David" w:hAnsiTheme="majorBidi" w:cstheme="majorBidi"/>
          <w:b/>
          <w:bCs/>
          <w:sz w:val="32"/>
          <w:szCs w:val="32"/>
          <w:u w:val="single"/>
          <w:rtl/>
        </w:rPr>
      </w:pPr>
      <w:r w:rsidRPr="0013481B">
        <w:rPr>
          <w:rFonts w:asciiTheme="majorBidi" w:eastAsia="David" w:hAnsiTheme="majorBidi" w:cstheme="majorBidi"/>
          <w:b/>
          <w:bCs/>
          <w:sz w:val="32"/>
          <w:szCs w:val="32"/>
          <w:u w:val="single"/>
          <w:cs/>
          <w:lang w:val="en"/>
        </w:rPr>
        <w:t>One1 Technologies:</w:t>
      </w:r>
    </w:p>
    <w:p w14:paraId="768D9CD6" w14:textId="77777777" w:rsidR="000A0EFD" w:rsidRPr="0013481B" w:rsidRDefault="000A0EFD" w:rsidP="0013481B">
      <w:pPr>
        <w:bidi w:val="0"/>
        <w:jc w:val="center"/>
        <w:rPr>
          <w:rFonts w:asciiTheme="majorBidi" w:eastAsia="David" w:hAnsiTheme="majorBidi" w:cstheme="majorBidi"/>
          <w:b/>
          <w:bCs/>
          <w:sz w:val="16"/>
          <w:szCs w:val="16"/>
          <w:u w:val="single"/>
          <w:rtl/>
          <w:cs/>
        </w:rPr>
      </w:pPr>
    </w:p>
    <w:p w14:paraId="31C6ABAA" w14:textId="77777777" w:rsidR="008F212E" w:rsidRPr="0013481B" w:rsidRDefault="00250DA1" w:rsidP="0013481B">
      <w:pPr>
        <w:bidi w:val="0"/>
        <w:spacing w:line="276" w:lineRule="auto"/>
        <w:jc w:val="center"/>
        <w:rPr>
          <w:rFonts w:asciiTheme="majorBidi" w:eastAsia="David" w:hAnsiTheme="majorBidi" w:cstheme="majorBidi"/>
          <w:b/>
          <w:bCs/>
          <w:sz w:val="40"/>
          <w:szCs w:val="40"/>
          <w:u w:val="single"/>
          <w:rtl/>
        </w:rPr>
      </w:pPr>
      <w:r w:rsidRPr="0013481B">
        <w:rPr>
          <w:rFonts w:asciiTheme="majorBidi" w:eastAsia="David" w:hAnsiTheme="majorBidi" w:cstheme="majorBidi"/>
          <w:b/>
          <w:bCs/>
          <w:sz w:val="40"/>
          <w:szCs w:val="40"/>
          <w:u w:val="single"/>
          <w:lang w:val="en"/>
        </w:rPr>
        <w:t xml:space="preserve">Revenues in 2018 increased to approximately NIS 1.43 billion; </w:t>
      </w:r>
    </w:p>
    <w:p w14:paraId="2DB45E38" w14:textId="77777777" w:rsidR="00250DA1" w:rsidRPr="0013481B" w:rsidRDefault="00250DA1" w:rsidP="0013481B">
      <w:pPr>
        <w:bidi w:val="0"/>
        <w:spacing w:line="276" w:lineRule="auto"/>
        <w:jc w:val="center"/>
        <w:rPr>
          <w:rFonts w:asciiTheme="majorBidi" w:eastAsia="David" w:hAnsiTheme="majorBidi" w:cstheme="majorBidi"/>
          <w:b/>
          <w:bCs/>
          <w:sz w:val="40"/>
          <w:szCs w:val="40"/>
          <w:u w:val="single"/>
          <w:rtl/>
        </w:rPr>
      </w:pPr>
      <w:r w:rsidRPr="0013481B">
        <w:rPr>
          <w:rFonts w:asciiTheme="majorBidi" w:eastAsia="David" w:hAnsiTheme="majorBidi" w:cstheme="majorBidi"/>
          <w:b/>
          <w:bCs/>
          <w:sz w:val="40"/>
          <w:szCs w:val="40"/>
          <w:u w:val="single"/>
          <w:lang w:val="en"/>
        </w:rPr>
        <w:t>Annual net profit - approximately NIS 69.1 million</w:t>
      </w:r>
    </w:p>
    <w:p w14:paraId="7B8F4C6D" w14:textId="77777777" w:rsidR="00250DA1" w:rsidRPr="0013481B" w:rsidRDefault="00250DA1" w:rsidP="0013481B">
      <w:pPr>
        <w:bidi w:val="0"/>
        <w:spacing w:line="276" w:lineRule="auto"/>
        <w:jc w:val="center"/>
        <w:rPr>
          <w:rFonts w:asciiTheme="majorBidi" w:eastAsia="David" w:hAnsiTheme="majorBidi" w:cstheme="majorBidi"/>
          <w:b/>
          <w:bCs/>
          <w:sz w:val="40"/>
          <w:szCs w:val="40"/>
          <w:u w:val="single"/>
          <w:rtl/>
        </w:rPr>
      </w:pPr>
    </w:p>
    <w:p w14:paraId="4373F9BE" w14:textId="77777777" w:rsidR="00250DA1" w:rsidRPr="0013481B" w:rsidRDefault="003F45D6" w:rsidP="0013481B">
      <w:pPr>
        <w:bidi w:val="0"/>
        <w:spacing w:line="276" w:lineRule="auto"/>
        <w:jc w:val="center"/>
        <w:rPr>
          <w:rFonts w:asciiTheme="majorBidi" w:eastAsia="David" w:hAnsiTheme="majorBidi" w:cstheme="majorBidi"/>
          <w:b/>
          <w:bCs/>
          <w:sz w:val="32"/>
          <w:szCs w:val="32"/>
          <w:u w:val="single"/>
          <w:rtl/>
        </w:rPr>
      </w:pPr>
      <w:r w:rsidRPr="0013481B">
        <w:rPr>
          <w:rFonts w:asciiTheme="majorBidi" w:eastAsia="David" w:hAnsiTheme="majorBidi" w:cstheme="majorBidi"/>
          <w:b/>
          <w:bCs/>
          <w:sz w:val="32"/>
          <w:szCs w:val="32"/>
          <w:u w:val="single"/>
          <w:lang w:val="en"/>
        </w:rPr>
        <w:t>Revenues in the fourth quarter of 2018 increased by approximately 4.9%, to approximately NIS 400 million; Net profit in the quarter - approximately NIS 20.8 million</w:t>
      </w:r>
    </w:p>
    <w:p w14:paraId="5340C983" w14:textId="77777777" w:rsidR="00B75790" w:rsidRPr="0013481B" w:rsidRDefault="00B75790" w:rsidP="0013481B">
      <w:pPr>
        <w:bidi w:val="0"/>
        <w:spacing w:line="276" w:lineRule="auto"/>
        <w:jc w:val="center"/>
        <w:rPr>
          <w:rFonts w:asciiTheme="majorBidi" w:eastAsia="David" w:hAnsiTheme="majorBidi" w:cstheme="majorBidi"/>
          <w:b/>
          <w:bCs/>
          <w:sz w:val="32"/>
          <w:szCs w:val="32"/>
          <w:u w:val="single"/>
          <w:rtl/>
        </w:rPr>
      </w:pPr>
    </w:p>
    <w:p w14:paraId="777F781C" w14:textId="77777777" w:rsidR="008A2223" w:rsidRPr="0013481B" w:rsidRDefault="008A2223" w:rsidP="0013481B">
      <w:pPr>
        <w:bidi w:val="0"/>
        <w:spacing w:line="276" w:lineRule="auto"/>
        <w:jc w:val="center"/>
        <w:rPr>
          <w:rFonts w:asciiTheme="majorBidi" w:eastAsia="David" w:hAnsiTheme="majorBidi" w:cstheme="majorBidi"/>
          <w:b/>
          <w:bCs/>
          <w:sz w:val="32"/>
          <w:szCs w:val="32"/>
          <w:u w:val="single"/>
          <w:rtl/>
        </w:rPr>
      </w:pPr>
      <w:r w:rsidRPr="0013481B">
        <w:rPr>
          <w:rFonts w:asciiTheme="majorBidi" w:eastAsia="David" w:hAnsiTheme="majorBidi" w:cstheme="majorBidi"/>
          <w:b/>
          <w:bCs/>
          <w:sz w:val="32"/>
          <w:szCs w:val="32"/>
          <w:u w:val="single"/>
          <w:lang w:val="en"/>
        </w:rPr>
        <w:t>The Company distributed dividends to its shareholders in 2018 in the amount of approximately NIS 43.8 million</w:t>
      </w:r>
    </w:p>
    <w:p w14:paraId="702FBBFC" w14:textId="77777777" w:rsidR="00B75790" w:rsidRPr="0013481B" w:rsidRDefault="00B75790" w:rsidP="0013481B">
      <w:pPr>
        <w:bidi w:val="0"/>
        <w:jc w:val="both"/>
        <w:rPr>
          <w:rFonts w:asciiTheme="majorBidi" w:hAnsiTheme="majorBidi" w:cstheme="majorBidi"/>
          <w:b/>
          <w:bCs/>
          <w:sz w:val="28"/>
          <w:szCs w:val="28"/>
          <w:u w:val="single"/>
          <w:rtl/>
        </w:rPr>
      </w:pPr>
    </w:p>
    <w:p w14:paraId="724BAF73" w14:textId="77777777" w:rsidR="00F04399" w:rsidRPr="000437A8" w:rsidRDefault="00391049" w:rsidP="0013481B">
      <w:pPr>
        <w:bidi w:val="0"/>
        <w:jc w:val="both"/>
        <w:rPr>
          <w:rFonts w:asciiTheme="majorBidi" w:hAnsiTheme="majorBidi" w:cstheme="majorBidi"/>
          <w:b/>
          <w:bCs/>
          <w:sz w:val="22"/>
          <w:szCs w:val="22"/>
          <w:u w:val="single"/>
          <w:rtl/>
        </w:rPr>
      </w:pPr>
      <w:r w:rsidRPr="000437A8">
        <w:rPr>
          <w:rFonts w:asciiTheme="majorBidi" w:hAnsiTheme="majorBidi" w:cstheme="majorBidi"/>
          <w:b/>
          <w:bCs/>
          <w:sz w:val="22"/>
          <w:szCs w:val="22"/>
          <w:u w:val="single"/>
          <w:lang w:val="en"/>
        </w:rPr>
        <w:t>Adi Eyal, the Company</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 xml:space="preserve">s CEO: </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We are concluding 2018 with operational growth and stable profitability, and are preparing for accelerated growth in 2019. Near the end of 2018 we made two significant transactions in the software segment, in which we acquired the companies Advantech and Sense BI: acquisitions which are expected to generate an aggregate revenue rate of NIS 120 million per year, and to establish One1 as the leader of the SAP segment in Israel, while deepening our penetration into the BI segment. Along with these acquisitions, we have also performed several additional significant processes, which will expand the array of solutions offered by One1 to its customers, including intensifying our activities in the digital, cloud and mobile segments, and changing the Group</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s organizational structure to increase the efficiency of management processes in the Group</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s member companies. We believe that all of these processes will bring results in 2019</w:t>
      </w:r>
      <w:r w:rsidR="0013481B" w:rsidRPr="000437A8">
        <w:rPr>
          <w:rFonts w:asciiTheme="majorBidi" w:hAnsiTheme="majorBidi" w:cstheme="majorBidi"/>
          <w:b/>
          <w:bCs/>
          <w:sz w:val="22"/>
          <w:szCs w:val="22"/>
          <w:u w:val="single"/>
          <w:lang w:val="en"/>
        </w:rPr>
        <w:t>”</w:t>
      </w:r>
      <w:r w:rsidRPr="000437A8">
        <w:rPr>
          <w:rFonts w:asciiTheme="majorBidi" w:hAnsiTheme="majorBidi" w:cstheme="majorBidi"/>
          <w:b/>
          <w:bCs/>
          <w:sz w:val="22"/>
          <w:szCs w:val="22"/>
          <w:u w:val="single"/>
          <w:lang w:val="en"/>
        </w:rPr>
        <w:t>.</w:t>
      </w:r>
    </w:p>
    <w:p w14:paraId="5C96C730" w14:textId="77777777" w:rsidR="00D16754" w:rsidRPr="000437A8" w:rsidRDefault="00D16754" w:rsidP="0013481B">
      <w:pPr>
        <w:bidi w:val="0"/>
        <w:jc w:val="both"/>
        <w:rPr>
          <w:rFonts w:asciiTheme="majorBidi" w:eastAsia="David" w:hAnsiTheme="majorBidi" w:cstheme="majorBidi"/>
          <w:b/>
          <w:bCs/>
          <w:sz w:val="22"/>
          <w:szCs w:val="22"/>
          <w:rtl/>
        </w:rPr>
      </w:pPr>
    </w:p>
    <w:p w14:paraId="1F645262" w14:textId="77777777" w:rsidR="00166845" w:rsidRPr="000437A8" w:rsidRDefault="00166845" w:rsidP="0013481B">
      <w:pPr>
        <w:tabs>
          <w:tab w:val="left" w:pos="6793"/>
        </w:tabs>
        <w:bidi w:val="0"/>
        <w:jc w:val="both"/>
        <w:rPr>
          <w:rFonts w:asciiTheme="majorBidi" w:eastAsia="David" w:hAnsiTheme="majorBidi" w:cstheme="majorBidi"/>
          <w:b/>
          <w:bCs/>
          <w:sz w:val="22"/>
          <w:szCs w:val="22"/>
          <w:rtl/>
        </w:rPr>
      </w:pPr>
    </w:p>
    <w:p w14:paraId="66B93A30" w14:textId="77777777" w:rsidR="004F3DCD" w:rsidRPr="000437A8" w:rsidRDefault="004F3DCD" w:rsidP="0013481B">
      <w:pPr>
        <w:bidi w:val="0"/>
        <w:spacing w:line="276" w:lineRule="auto"/>
        <w:jc w:val="both"/>
        <w:rPr>
          <w:rFonts w:asciiTheme="majorBidi" w:eastAsia="David" w:hAnsiTheme="majorBidi" w:cstheme="majorBidi"/>
          <w:sz w:val="22"/>
          <w:szCs w:val="22"/>
          <w:rtl/>
        </w:rPr>
      </w:pPr>
      <w:r w:rsidRPr="000437A8">
        <w:rPr>
          <w:rFonts w:asciiTheme="majorBidi" w:hAnsiTheme="majorBidi" w:cstheme="majorBidi"/>
          <w:b/>
          <w:bCs/>
          <w:sz w:val="22"/>
          <w:szCs w:val="22"/>
          <w:lang w:val="en"/>
        </w:rPr>
        <w:t>One1 Technologies Ltd.</w:t>
      </w:r>
      <w:r w:rsidRPr="000437A8">
        <w:rPr>
          <w:rFonts w:asciiTheme="majorBidi" w:hAnsiTheme="majorBidi" w:cstheme="majorBidi"/>
          <w:sz w:val="22"/>
          <w:szCs w:val="22"/>
          <w:lang w:val="en"/>
        </w:rPr>
        <w:t xml:space="preserve">, one of the leading IT companies in Israel, concludes the fourth quarter and the year of 2018. </w:t>
      </w:r>
    </w:p>
    <w:p w14:paraId="6AFA334E" w14:textId="77777777" w:rsidR="00D16754" w:rsidRPr="000437A8" w:rsidRDefault="00D16754" w:rsidP="0013481B">
      <w:pPr>
        <w:bidi w:val="0"/>
        <w:spacing w:line="276" w:lineRule="auto"/>
        <w:jc w:val="both"/>
        <w:rPr>
          <w:rFonts w:asciiTheme="majorBidi" w:eastAsia="David" w:hAnsiTheme="majorBidi" w:cstheme="majorBidi"/>
          <w:b/>
          <w:bCs/>
          <w:sz w:val="22"/>
          <w:szCs w:val="22"/>
          <w:u w:val="single"/>
          <w:rtl/>
        </w:rPr>
      </w:pPr>
    </w:p>
    <w:p w14:paraId="1B8F1872" w14:textId="77777777" w:rsidR="000437A8" w:rsidRDefault="000437A8">
      <w:pPr>
        <w:bidi w:val="0"/>
        <w:rPr>
          <w:rFonts w:asciiTheme="majorBidi" w:eastAsia="David" w:hAnsiTheme="majorBidi" w:cstheme="majorBidi"/>
          <w:b/>
          <w:bCs/>
          <w:sz w:val="22"/>
          <w:szCs w:val="22"/>
          <w:u w:val="single"/>
          <w:lang w:val="en"/>
        </w:rPr>
      </w:pPr>
      <w:r>
        <w:rPr>
          <w:rFonts w:asciiTheme="majorBidi" w:eastAsia="David" w:hAnsiTheme="majorBidi" w:cstheme="majorBidi"/>
          <w:b/>
          <w:bCs/>
          <w:sz w:val="22"/>
          <w:szCs w:val="22"/>
          <w:u w:val="single"/>
          <w:lang w:val="en"/>
        </w:rPr>
        <w:br w:type="page"/>
      </w:r>
    </w:p>
    <w:p w14:paraId="5BA99079" w14:textId="77777777" w:rsidR="009638DC" w:rsidRPr="000437A8" w:rsidRDefault="009638DC" w:rsidP="0013481B">
      <w:pPr>
        <w:bidi w:val="0"/>
        <w:spacing w:line="276" w:lineRule="auto"/>
        <w:jc w:val="both"/>
        <w:rPr>
          <w:rFonts w:asciiTheme="majorBidi" w:eastAsia="David" w:hAnsiTheme="majorBidi" w:cstheme="majorBidi"/>
          <w:b/>
          <w:bCs/>
          <w:sz w:val="22"/>
          <w:szCs w:val="22"/>
          <w:u w:val="single"/>
          <w:rtl/>
        </w:rPr>
      </w:pPr>
      <w:r w:rsidRPr="000437A8">
        <w:rPr>
          <w:rFonts w:asciiTheme="majorBidi" w:eastAsia="David" w:hAnsiTheme="majorBidi" w:cstheme="majorBidi"/>
          <w:b/>
          <w:bCs/>
          <w:sz w:val="22"/>
          <w:szCs w:val="22"/>
          <w:u w:val="single"/>
          <w:lang w:val="en"/>
        </w:rPr>
        <w:lastRenderedPageBreak/>
        <w:t>Main results in 2018</w:t>
      </w:r>
    </w:p>
    <w:p w14:paraId="1318619A" w14:textId="77777777" w:rsidR="005D6F06" w:rsidRPr="000437A8" w:rsidRDefault="005D6F06" w:rsidP="0013481B">
      <w:pPr>
        <w:bidi w:val="0"/>
        <w:spacing w:line="276" w:lineRule="auto"/>
        <w:jc w:val="both"/>
        <w:rPr>
          <w:rFonts w:asciiTheme="majorBidi" w:eastAsia="David" w:hAnsiTheme="majorBidi" w:cstheme="majorBidi"/>
          <w:b/>
          <w:bCs/>
          <w:sz w:val="22"/>
          <w:szCs w:val="22"/>
          <w:u w:val="single"/>
          <w:rtl/>
        </w:rPr>
      </w:pPr>
    </w:p>
    <w:p w14:paraId="29651D26" w14:textId="77777777" w:rsidR="002326AB" w:rsidRPr="000437A8" w:rsidRDefault="002326AB" w:rsidP="0013481B">
      <w:pPr>
        <w:bidi w:val="0"/>
        <w:spacing w:line="276" w:lineRule="auto"/>
        <w:jc w:val="both"/>
        <w:rPr>
          <w:rFonts w:asciiTheme="majorBidi" w:eastAsia="David" w:hAnsiTheme="majorBidi" w:cstheme="majorBidi"/>
          <w:b/>
          <w:bCs/>
          <w:sz w:val="22"/>
          <w:szCs w:val="22"/>
          <w:rtl/>
        </w:rPr>
      </w:pPr>
      <w:r w:rsidRPr="000437A8">
        <w:rPr>
          <w:rFonts w:asciiTheme="majorBidi" w:eastAsia="David" w:hAnsiTheme="majorBidi" w:cstheme="majorBidi"/>
          <w:b/>
          <w:bCs/>
          <w:sz w:val="22"/>
          <w:szCs w:val="22"/>
          <w:lang w:val="en"/>
        </w:rPr>
        <w:t>The Company</w:t>
      </w:r>
      <w:r w:rsidR="0013481B" w:rsidRPr="000437A8">
        <w:rPr>
          <w:rFonts w:asciiTheme="majorBidi" w:eastAsia="David" w:hAnsiTheme="majorBidi" w:cstheme="majorBidi"/>
          <w:b/>
          <w:bCs/>
          <w:sz w:val="22"/>
          <w:szCs w:val="22"/>
          <w:lang w:val="en"/>
        </w:rPr>
        <w:t>’</w:t>
      </w:r>
      <w:r w:rsidRPr="000437A8">
        <w:rPr>
          <w:rFonts w:asciiTheme="majorBidi" w:eastAsia="David" w:hAnsiTheme="majorBidi" w:cstheme="majorBidi"/>
          <w:b/>
          <w:bCs/>
          <w:sz w:val="22"/>
          <w:szCs w:val="22"/>
          <w:lang w:val="en"/>
        </w:rPr>
        <w:t xml:space="preserve">s revenues </w:t>
      </w:r>
      <w:r w:rsidRPr="000437A8">
        <w:rPr>
          <w:rFonts w:asciiTheme="majorBidi" w:eastAsia="David" w:hAnsiTheme="majorBidi" w:cstheme="majorBidi"/>
          <w:sz w:val="22"/>
          <w:szCs w:val="22"/>
          <w:lang w:val="en"/>
        </w:rPr>
        <w:t xml:space="preserve">in 2018 increased by approximately 2.6%, to approximately NIS 1.43 billion, as compared with approximately NIS 1.39 billion in the corresponding period last year. The increase in revenue was due to the organic growth of revenue in the software solutions and services segment, and in the infrastructure and computing solutions segment. </w:t>
      </w:r>
    </w:p>
    <w:p w14:paraId="271C0A3B" w14:textId="77777777" w:rsidR="0044786A" w:rsidRPr="000437A8" w:rsidRDefault="002326AB" w:rsidP="0013481B">
      <w:pPr>
        <w:pStyle w:val="ListParagraph"/>
        <w:numPr>
          <w:ilvl w:val="0"/>
          <w:numId w:val="7"/>
        </w:numPr>
        <w:bidi w:val="0"/>
        <w:spacing w:line="276" w:lineRule="auto"/>
        <w:jc w:val="both"/>
        <w:rPr>
          <w:rFonts w:asciiTheme="majorBidi" w:eastAsia="David" w:hAnsiTheme="majorBidi" w:cstheme="majorBidi"/>
          <w:sz w:val="22"/>
          <w:szCs w:val="22"/>
          <w:rtl/>
        </w:rPr>
      </w:pPr>
      <w:r w:rsidRPr="000437A8">
        <w:rPr>
          <w:rFonts w:asciiTheme="majorBidi" w:hAnsiTheme="majorBidi" w:cstheme="majorBidi"/>
          <w:b/>
          <w:bCs/>
          <w:sz w:val="22"/>
          <w:szCs w:val="22"/>
          <w:lang w:val="en"/>
        </w:rPr>
        <w:t xml:space="preserve">Revenues in the software segment </w:t>
      </w:r>
      <w:r w:rsidRPr="000437A8">
        <w:rPr>
          <w:rFonts w:asciiTheme="majorBidi" w:hAnsiTheme="majorBidi" w:cstheme="majorBidi"/>
          <w:sz w:val="22"/>
          <w:szCs w:val="22"/>
          <w:lang w:val="en"/>
        </w:rPr>
        <w:t>increased in 2018 by approximately 4.1%, to approximately NIS 627 million, as compared with approximately NIS 602.1 million in the corresponding period last year. The increase was partially due to the organic growth of the activities in this segment, and partially to the initial consolidation of companies which were acquired during the reporting period.</w:t>
      </w:r>
    </w:p>
    <w:p w14:paraId="79C14196" w14:textId="77777777" w:rsidR="0044786A" w:rsidRPr="000437A8" w:rsidRDefault="002326AB" w:rsidP="0013481B">
      <w:pPr>
        <w:pStyle w:val="ListParagraph"/>
        <w:numPr>
          <w:ilvl w:val="0"/>
          <w:numId w:val="7"/>
        </w:numPr>
        <w:bidi w:val="0"/>
        <w:spacing w:line="276" w:lineRule="auto"/>
        <w:jc w:val="both"/>
        <w:rPr>
          <w:rFonts w:asciiTheme="majorBidi" w:eastAsia="David" w:hAnsiTheme="majorBidi" w:cstheme="majorBidi"/>
          <w:sz w:val="22"/>
          <w:szCs w:val="22"/>
          <w:rtl/>
        </w:rPr>
      </w:pPr>
      <w:r w:rsidRPr="000437A8">
        <w:rPr>
          <w:rFonts w:asciiTheme="majorBidi" w:hAnsiTheme="majorBidi" w:cstheme="majorBidi"/>
          <w:b/>
          <w:bCs/>
          <w:sz w:val="22"/>
          <w:szCs w:val="22"/>
          <w:lang w:val="en"/>
        </w:rPr>
        <w:t xml:space="preserve">Revenues in the infrastructure segment </w:t>
      </w:r>
      <w:r w:rsidRPr="000437A8">
        <w:rPr>
          <w:rFonts w:asciiTheme="majorBidi" w:hAnsiTheme="majorBidi" w:cstheme="majorBidi"/>
          <w:sz w:val="22"/>
          <w:szCs w:val="22"/>
          <w:lang w:val="en"/>
        </w:rPr>
        <w:t>increased in 2018 by approximately 2.7%, to approximately NIS 693 million, as compared with approximately NIS 675 million in the corresponding period last year. The increase was due to the organic growth of the Company</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s activities in this segment.</w:t>
      </w:r>
    </w:p>
    <w:p w14:paraId="05FE14A0" w14:textId="77777777" w:rsidR="002326AB" w:rsidRPr="000437A8" w:rsidRDefault="002326AB" w:rsidP="0013481B">
      <w:pPr>
        <w:pStyle w:val="ListParagraph"/>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Revenue in the managed services segment</w:t>
      </w:r>
      <w:r w:rsidRPr="000437A8">
        <w:rPr>
          <w:rFonts w:asciiTheme="majorBidi" w:eastAsia="David" w:hAnsiTheme="majorBidi" w:cstheme="majorBidi"/>
          <w:sz w:val="22"/>
          <w:szCs w:val="22"/>
          <w:lang w:val="en"/>
        </w:rPr>
        <w:t xml:space="preserve"> amounted in 2018 to NIS 128 million, similarly to the corresponding period last year.</w:t>
      </w:r>
    </w:p>
    <w:p w14:paraId="7F69FEC9" w14:textId="77777777" w:rsidR="002326AB" w:rsidRPr="000437A8" w:rsidRDefault="002326AB" w:rsidP="0013481B">
      <w:pPr>
        <w:bidi w:val="0"/>
        <w:spacing w:line="276" w:lineRule="auto"/>
        <w:jc w:val="both"/>
        <w:rPr>
          <w:rFonts w:asciiTheme="majorBidi" w:eastAsia="David" w:hAnsiTheme="majorBidi" w:cstheme="majorBidi"/>
          <w:b/>
          <w:bCs/>
          <w:sz w:val="22"/>
          <w:szCs w:val="22"/>
          <w:rtl/>
        </w:rPr>
      </w:pPr>
    </w:p>
    <w:p w14:paraId="20605BDC" w14:textId="77777777" w:rsidR="002326AB" w:rsidRPr="000437A8" w:rsidRDefault="002326AB"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Gross profit </w:t>
      </w:r>
      <w:r w:rsidRPr="000437A8">
        <w:rPr>
          <w:rFonts w:asciiTheme="majorBidi" w:eastAsia="David" w:hAnsiTheme="majorBidi" w:cstheme="majorBidi"/>
          <w:sz w:val="22"/>
          <w:szCs w:val="22"/>
          <w:lang w:val="en"/>
        </w:rPr>
        <w:t>in 2018 increased by approximately 1.1%, to approximately NIS 242 million, as compared with approximately NIS 239.1 million in the corresponding period last year. The rate of gross profit in 2018 amounted to approximately 16.9%, as compared with approximately 17.1% in the corresponding period last year.</w:t>
      </w:r>
      <w:r w:rsidR="0013481B" w:rsidRPr="000437A8">
        <w:rPr>
          <w:rFonts w:asciiTheme="majorBidi" w:eastAsia="David" w:hAnsiTheme="majorBidi" w:cstheme="majorBidi"/>
          <w:sz w:val="22"/>
          <w:szCs w:val="22"/>
          <w:lang w:val="en"/>
        </w:rPr>
        <w:t xml:space="preserve"> </w:t>
      </w:r>
    </w:p>
    <w:p w14:paraId="2BB0BDB2" w14:textId="77777777" w:rsidR="002326AB" w:rsidRPr="000437A8" w:rsidRDefault="002326AB" w:rsidP="0013481B">
      <w:pPr>
        <w:bidi w:val="0"/>
        <w:spacing w:line="276" w:lineRule="auto"/>
        <w:jc w:val="both"/>
        <w:rPr>
          <w:rFonts w:asciiTheme="majorBidi" w:eastAsia="David" w:hAnsiTheme="majorBidi" w:cstheme="majorBidi"/>
          <w:b/>
          <w:bCs/>
          <w:sz w:val="22"/>
          <w:szCs w:val="22"/>
          <w:rtl/>
        </w:rPr>
      </w:pPr>
    </w:p>
    <w:p w14:paraId="366A2709" w14:textId="77777777" w:rsidR="002326AB" w:rsidRPr="000437A8" w:rsidRDefault="002326AB"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w:t>
      </w:r>
      <w:r w:rsidRPr="000437A8">
        <w:rPr>
          <w:rFonts w:asciiTheme="majorBidi" w:eastAsia="David" w:hAnsiTheme="majorBidi" w:cstheme="majorBidi"/>
          <w:sz w:val="22"/>
          <w:szCs w:val="22"/>
          <w:lang w:val="en"/>
        </w:rPr>
        <w:t xml:space="preserve">in 2018 amounted to approximately NIS 94.2 million (approximately 6.6% of revenue), as compared with operating profit of approximately NIS 96 million in the corresponding period last year (approximately 6.9% of revenue). </w:t>
      </w:r>
    </w:p>
    <w:p w14:paraId="21686827" w14:textId="77777777" w:rsidR="0021623F" w:rsidRPr="000437A8" w:rsidRDefault="004436FA" w:rsidP="0013481B">
      <w:pPr>
        <w:pStyle w:val="ListParagraph"/>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in the software segment </w:t>
      </w:r>
      <w:r w:rsidRPr="000437A8">
        <w:rPr>
          <w:rFonts w:asciiTheme="majorBidi" w:eastAsia="David" w:hAnsiTheme="majorBidi" w:cstheme="majorBidi"/>
          <w:sz w:val="22"/>
          <w:szCs w:val="22"/>
          <w:lang w:val="en"/>
        </w:rPr>
        <w:t xml:space="preserve">amounted in 2018 to approximately NIS 63 million, as compared with approximately NIS 64 million in the corresponding period last year. </w:t>
      </w:r>
    </w:p>
    <w:p w14:paraId="3D705884" w14:textId="77777777" w:rsidR="0021623F" w:rsidRPr="000437A8" w:rsidRDefault="00EB50A0" w:rsidP="0013481B">
      <w:pPr>
        <w:pStyle w:val="ListParagraph"/>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in the infrastructure segment </w:t>
      </w:r>
      <w:r w:rsidRPr="000437A8">
        <w:rPr>
          <w:rFonts w:asciiTheme="majorBidi" w:eastAsia="David" w:hAnsiTheme="majorBidi" w:cstheme="majorBidi"/>
          <w:sz w:val="22"/>
          <w:szCs w:val="22"/>
          <w:lang w:val="en"/>
        </w:rPr>
        <w:t xml:space="preserve">increased in 2018 by approximately 1.4%, to approximately NIS 33.7 million, as compared with approximately NIS 33.3 million in the corresponding period last year. </w:t>
      </w:r>
    </w:p>
    <w:p w14:paraId="1A008A36" w14:textId="796293D1" w:rsidR="0021623F" w:rsidRPr="000437A8" w:rsidRDefault="00C96630" w:rsidP="0013481B">
      <w:pPr>
        <w:pStyle w:val="ListParagraph"/>
        <w:numPr>
          <w:ilvl w:val="0"/>
          <w:numId w:val="7"/>
        </w:num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in the managed services segment </w:t>
      </w:r>
      <w:r w:rsidRPr="000437A8">
        <w:rPr>
          <w:rFonts w:asciiTheme="majorBidi" w:eastAsia="David" w:hAnsiTheme="majorBidi" w:cstheme="majorBidi"/>
          <w:sz w:val="22"/>
          <w:szCs w:val="22"/>
          <w:lang w:val="en"/>
        </w:rPr>
        <w:t>amounted in 2018 to approximately NIS 6 million</w:t>
      </w:r>
      <w:r w:rsidR="00766F81">
        <w:rPr>
          <w:rFonts w:asciiTheme="majorBidi" w:eastAsia="David" w:hAnsiTheme="majorBidi" w:cstheme="majorBidi"/>
          <w:sz w:val="22"/>
          <w:szCs w:val="22"/>
        </w:rPr>
        <w:t xml:space="preserve"> to approximately 5.7 million</w:t>
      </w:r>
      <w:bookmarkStart w:id="0" w:name="_GoBack"/>
      <w:bookmarkEnd w:id="0"/>
      <w:r w:rsidRPr="000437A8">
        <w:rPr>
          <w:rFonts w:asciiTheme="majorBidi" w:eastAsia="David" w:hAnsiTheme="majorBidi" w:cstheme="majorBidi"/>
          <w:sz w:val="22"/>
          <w:szCs w:val="22"/>
          <w:lang w:val="en"/>
        </w:rPr>
        <w:t>, as compared with approximately NIS 5.9 million in the corresponding period last year.</w:t>
      </w:r>
    </w:p>
    <w:p w14:paraId="21C2ED52" w14:textId="77777777" w:rsidR="0021623F" w:rsidRPr="000437A8" w:rsidRDefault="0021623F" w:rsidP="0013481B">
      <w:pPr>
        <w:bidi w:val="0"/>
        <w:spacing w:line="276" w:lineRule="auto"/>
        <w:jc w:val="both"/>
        <w:rPr>
          <w:rFonts w:asciiTheme="majorBidi" w:eastAsia="David" w:hAnsiTheme="majorBidi" w:cstheme="majorBidi"/>
          <w:sz w:val="22"/>
          <w:szCs w:val="22"/>
          <w:rtl/>
        </w:rPr>
      </w:pPr>
    </w:p>
    <w:p w14:paraId="4E172301" w14:textId="77777777" w:rsidR="002326AB" w:rsidRPr="000437A8" w:rsidRDefault="002326AB" w:rsidP="0013481B">
      <w:pPr>
        <w:bidi w:val="0"/>
        <w:spacing w:line="276" w:lineRule="auto"/>
        <w:jc w:val="both"/>
        <w:rPr>
          <w:rFonts w:asciiTheme="majorBidi" w:eastAsia="David" w:hAnsiTheme="majorBidi" w:cstheme="majorBidi"/>
          <w:sz w:val="22"/>
          <w:szCs w:val="22"/>
          <w:rtl/>
          <w:cs/>
        </w:rPr>
      </w:pPr>
      <w:r w:rsidRPr="000437A8">
        <w:rPr>
          <w:rFonts w:asciiTheme="majorBidi" w:hAnsiTheme="majorBidi" w:cstheme="majorBidi"/>
          <w:b/>
          <w:bCs/>
          <w:sz w:val="22"/>
          <w:szCs w:val="22"/>
          <w:lang w:val="en"/>
        </w:rPr>
        <w:t xml:space="preserve">EBITDA </w:t>
      </w:r>
      <w:r w:rsidRPr="000437A8">
        <w:rPr>
          <w:rFonts w:asciiTheme="majorBidi" w:hAnsiTheme="majorBidi" w:cstheme="majorBidi"/>
          <w:sz w:val="22"/>
          <w:szCs w:val="22"/>
          <w:lang w:val="en"/>
        </w:rPr>
        <w:t>in 2018 amounted to approximately NIS 110.5 million, as compared with approximately NIS 113.1 million in the corresponding period last year. The decrease was due to the decrease in operating profit.</w:t>
      </w:r>
    </w:p>
    <w:p w14:paraId="68A6AA63" w14:textId="77777777" w:rsidR="002326AB" w:rsidRPr="000437A8" w:rsidRDefault="002326AB" w:rsidP="0013481B">
      <w:pPr>
        <w:bidi w:val="0"/>
        <w:spacing w:line="276" w:lineRule="auto"/>
        <w:jc w:val="both"/>
        <w:rPr>
          <w:rFonts w:asciiTheme="majorBidi" w:eastAsia="David" w:hAnsiTheme="majorBidi" w:cstheme="majorBidi"/>
          <w:sz w:val="22"/>
          <w:szCs w:val="22"/>
          <w:rtl/>
          <w:cs/>
        </w:rPr>
      </w:pPr>
    </w:p>
    <w:p w14:paraId="5CE38DAD" w14:textId="77777777" w:rsidR="002326AB" w:rsidRPr="000437A8" w:rsidRDefault="002326AB"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 concluded 2018 with an increase of approximately 3.4% in net profit</w:t>
      </w:r>
      <w:r w:rsidRPr="000437A8">
        <w:rPr>
          <w:rFonts w:asciiTheme="majorBidi" w:eastAsia="David" w:hAnsiTheme="majorBidi" w:cstheme="majorBidi"/>
          <w:sz w:val="22"/>
          <w:szCs w:val="22"/>
          <w:lang w:val="en"/>
        </w:rPr>
        <w:t xml:space="preserve">, to approximately NIS 69.1 million (approximately NIS 65.7 million attributable to shareholders), as compared with approximately NIS 66.8 million (approximately NIS 66.4 million attributable to shareholders) in the corresponding period last year. The increase was partially due to the decrease in financing expenses with respect to the update to the business combination liability. </w:t>
      </w:r>
    </w:p>
    <w:p w14:paraId="20BF0D67" w14:textId="77777777" w:rsidR="00A70BBE" w:rsidRPr="000437A8" w:rsidRDefault="00A70BBE">
      <w:pPr>
        <w:bidi w:val="0"/>
        <w:rPr>
          <w:rFonts w:asciiTheme="majorBidi" w:eastAsia="David" w:hAnsiTheme="majorBidi" w:cstheme="majorBidi"/>
          <w:b/>
          <w:bCs/>
          <w:sz w:val="22"/>
          <w:szCs w:val="22"/>
          <w:u w:val="single"/>
          <w:lang w:val="en"/>
        </w:rPr>
      </w:pPr>
      <w:r w:rsidRPr="000437A8">
        <w:rPr>
          <w:rFonts w:asciiTheme="majorBidi" w:eastAsia="David" w:hAnsiTheme="majorBidi" w:cstheme="majorBidi"/>
          <w:b/>
          <w:bCs/>
          <w:sz w:val="22"/>
          <w:szCs w:val="22"/>
          <w:u w:val="single"/>
          <w:lang w:val="en"/>
        </w:rPr>
        <w:br w:type="page"/>
      </w:r>
    </w:p>
    <w:p w14:paraId="5C71DCF1" w14:textId="77777777" w:rsidR="007C387F" w:rsidRPr="000437A8" w:rsidRDefault="006F7DCA" w:rsidP="0013481B">
      <w:pPr>
        <w:bidi w:val="0"/>
        <w:spacing w:line="276" w:lineRule="auto"/>
        <w:jc w:val="both"/>
        <w:rPr>
          <w:rFonts w:asciiTheme="majorBidi" w:eastAsia="David" w:hAnsiTheme="majorBidi" w:cstheme="majorBidi"/>
          <w:b/>
          <w:bCs/>
          <w:sz w:val="22"/>
          <w:szCs w:val="22"/>
          <w:u w:val="single"/>
          <w:rtl/>
        </w:rPr>
      </w:pPr>
      <w:r w:rsidRPr="000437A8">
        <w:rPr>
          <w:rFonts w:asciiTheme="majorBidi" w:eastAsia="David" w:hAnsiTheme="majorBidi" w:cstheme="majorBidi"/>
          <w:b/>
          <w:bCs/>
          <w:sz w:val="22"/>
          <w:szCs w:val="22"/>
          <w:u w:val="single"/>
          <w:lang w:val="en"/>
        </w:rPr>
        <w:lastRenderedPageBreak/>
        <w:t xml:space="preserve">Main results </w:t>
      </w:r>
      <w:r w:rsidR="00A70BBE" w:rsidRPr="000437A8">
        <w:rPr>
          <w:rFonts w:asciiTheme="majorBidi" w:eastAsia="David" w:hAnsiTheme="majorBidi" w:cstheme="majorBidi"/>
          <w:b/>
          <w:bCs/>
          <w:sz w:val="22"/>
          <w:szCs w:val="22"/>
          <w:u w:val="single"/>
          <w:lang w:val="en"/>
        </w:rPr>
        <w:t>in</w:t>
      </w:r>
      <w:r w:rsidRPr="000437A8">
        <w:rPr>
          <w:rFonts w:asciiTheme="majorBidi" w:eastAsia="David" w:hAnsiTheme="majorBidi" w:cstheme="majorBidi"/>
          <w:b/>
          <w:bCs/>
          <w:sz w:val="22"/>
          <w:szCs w:val="22"/>
          <w:u w:val="single"/>
          <w:lang w:val="en"/>
        </w:rPr>
        <w:t xml:space="preserve"> the fourth quarter of 2018</w:t>
      </w:r>
    </w:p>
    <w:p w14:paraId="1735F00E"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w:t>
      </w:r>
      <w:r w:rsidR="0013481B" w:rsidRPr="000437A8">
        <w:rPr>
          <w:rFonts w:asciiTheme="majorBidi" w:eastAsia="David" w:hAnsiTheme="majorBidi" w:cstheme="majorBidi"/>
          <w:b/>
          <w:bCs/>
          <w:sz w:val="22"/>
          <w:szCs w:val="22"/>
          <w:lang w:val="en"/>
        </w:rPr>
        <w:t>’</w:t>
      </w:r>
      <w:r w:rsidRPr="000437A8">
        <w:rPr>
          <w:rFonts w:asciiTheme="majorBidi" w:eastAsia="David" w:hAnsiTheme="majorBidi" w:cstheme="majorBidi"/>
          <w:b/>
          <w:bCs/>
          <w:sz w:val="22"/>
          <w:szCs w:val="22"/>
          <w:lang w:val="en"/>
        </w:rPr>
        <w:t xml:space="preserve">s revenues </w:t>
      </w:r>
      <w:r w:rsidRPr="000437A8">
        <w:rPr>
          <w:rFonts w:asciiTheme="majorBidi" w:eastAsia="David" w:hAnsiTheme="majorBidi" w:cstheme="majorBidi"/>
          <w:sz w:val="22"/>
          <w:szCs w:val="22"/>
          <w:lang w:val="en"/>
        </w:rPr>
        <w:t xml:space="preserve">in the quarter increased by approximately 4.9% to approximately NIS 400 million, as compared with approximately NIS 381.2 million in the corresponding quarter last year. The increase in revenue was recorded primarily due to the increase of revenue in the software segment, inter alia due to the initial consolidation of companies which were acquired during the quarter. </w:t>
      </w:r>
    </w:p>
    <w:p w14:paraId="0B470F26" w14:textId="77777777" w:rsidR="007C387F" w:rsidRPr="000437A8" w:rsidRDefault="007C387F" w:rsidP="0013481B">
      <w:pPr>
        <w:bidi w:val="0"/>
        <w:spacing w:line="276" w:lineRule="auto"/>
        <w:jc w:val="both"/>
        <w:rPr>
          <w:rFonts w:asciiTheme="majorBidi" w:eastAsia="David" w:hAnsiTheme="majorBidi" w:cstheme="majorBidi"/>
          <w:b/>
          <w:bCs/>
          <w:sz w:val="22"/>
          <w:szCs w:val="22"/>
          <w:rtl/>
        </w:rPr>
      </w:pPr>
    </w:p>
    <w:p w14:paraId="401CD1E9"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Gross profit </w:t>
      </w:r>
      <w:r w:rsidRPr="000437A8">
        <w:rPr>
          <w:rFonts w:asciiTheme="majorBidi" w:eastAsia="David" w:hAnsiTheme="majorBidi" w:cstheme="majorBidi"/>
          <w:sz w:val="22"/>
          <w:szCs w:val="22"/>
          <w:lang w:val="en"/>
        </w:rPr>
        <w:t>in the quarter increased to approximately NIS 68.7 million (approximately 17.3% of revenue), as compared with approximately NIS 68.4 million in the corresponding quarter last year (17.9% of revenue).</w:t>
      </w:r>
    </w:p>
    <w:p w14:paraId="2CADBED3" w14:textId="77777777" w:rsidR="007C387F" w:rsidRPr="000437A8" w:rsidRDefault="007C387F" w:rsidP="0013481B">
      <w:pPr>
        <w:bidi w:val="0"/>
        <w:spacing w:line="276" w:lineRule="auto"/>
        <w:jc w:val="both"/>
        <w:rPr>
          <w:rFonts w:asciiTheme="majorBidi" w:eastAsia="David" w:hAnsiTheme="majorBidi" w:cstheme="majorBidi"/>
          <w:b/>
          <w:bCs/>
          <w:sz w:val="22"/>
          <w:szCs w:val="22"/>
          <w:rtl/>
        </w:rPr>
      </w:pPr>
    </w:p>
    <w:p w14:paraId="207E5CB3"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 xml:space="preserve">Operating profit </w:t>
      </w:r>
      <w:r w:rsidRPr="000437A8">
        <w:rPr>
          <w:rFonts w:asciiTheme="majorBidi" w:eastAsia="David" w:hAnsiTheme="majorBidi" w:cstheme="majorBidi"/>
          <w:sz w:val="22"/>
          <w:szCs w:val="22"/>
          <w:lang w:val="en"/>
        </w:rPr>
        <w:t xml:space="preserve">in the quarter amounted to approximately NIS 29.5 million (7.4% of revenue), as compared with approximately NIS 30 million (7.9% of revenue) in the corresponding quarter last year. </w:t>
      </w:r>
    </w:p>
    <w:p w14:paraId="2AB713C6" w14:textId="77777777" w:rsidR="007C387F" w:rsidRPr="000437A8" w:rsidRDefault="007C387F" w:rsidP="0013481B">
      <w:pPr>
        <w:bidi w:val="0"/>
        <w:spacing w:line="276" w:lineRule="auto"/>
        <w:jc w:val="both"/>
        <w:rPr>
          <w:rFonts w:asciiTheme="majorBidi" w:eastAsia="David" w:hAnsiTheme="majorBidi" w:cstheme="majorBidi"/>
          <w:b/>
          <w:bCs/>
          <w:sz w:val="22"/>
          <w:szCs w:val="22"/>
          <w:rtl/>
        </w:rPr>
      </w:pPr>
    </w:p>
    <w:p w14:paraId="4C7E571D" w14:textId="77777777" w:rsidR="007C387F" w:rsidRPr="000437A8" w:rsidRDefault="007C387F" w:rsidP="0013481B">
      <w:pPr>
        <w:bidi w:val="0"/>
        <w:spacing w:line="276" w:lineRule="auto"/>
        <w:jc w:val="both"/>
        <w:rPr>
          <w:rFonts w:asciiTheme="majorBidi" w:eastAsia="David" w:hAnsiTheme="majorBidi" w:cstheme="majorBidi"/>
          <w:sz w:val="22"/>
          <w:szCs w:val="22"/>
          <w:rtl/>
          <w:cs/>
        </w:rPr>
      </w:pPr>
      <w:r w:rsidRPr="000437A8">
        <w:rPr>
          <w:rFonts w:asciiTheme="majorBidi" w:hAnsiTheme="majorBidi" w:cstheme="majorBidi"/>
          <w:b/>
          <w:bCs/>
          <w:sz w:val="22"/>
          <w:szCs w:val="22"/>
          <w:lang w:val="en"/>
        </w:rPr>
        <w:t xml:space="preserve">EBITDA </w:t>
      </w:r>
      <w:r w:rsidRPr="000437A8">
        <w:rPr>
          <w:rFonts w:asciiTheme="majorBidi" w:hAnsiTheme="majorBidi" w:cstheme="majorBidi"/>
          <w:sz w:val="22"/>
          <w:szCs w:val="22"/>
          <w:lang w:val="en"/>
        </w:rPr>
        <w:t>in the quarter amounted to approximately NIS 34.3 million, as compared with approximately NIS 34.4 million in the corresponding quarter last year.</w:t>
      </w:r>
      <w:r w:rsidRPr="000437A8">
        <w:rPr>
          <w:rFonts w:asciiTheme="majorBidi" w:eastAsia="David" w:hAnsiTheme="majorBidi" w:cstheme="majorBidi"/>
          <w:sz w:val="22"/>
          <w:szCs w:val="22"/>
          <w:rtl/>
          <w:cs/>
        </w:rPr>
        <w:t xml:space="preserve"> </w:t>
      </w:r>
    </w:p>
    <w:p w14:paraId="25E0D89E" w14:textId="77777777" w:rsidR="007C387F" w:rsidRPr="000437A8" w:rsidRDefault="007C387F" w:rsidP="0013481B">
      <w:pPr>
        <w:bidi w:val="0"/>
        <w:spacing w:line="276" w:lineRule="auto"/>
        <w:jc w:val="both"/>
        <w:rPr>
          <w:rFonts w:asciiTheme="majorBidi" w:eastAsia="David" w:hAnsiTheme="majorBidi" w:cstheme="majorBidi"/>
          <w:sz w:val="22"/>
          <w:szCs w:val="22"/>
          <w:rtl/>
          <w:cs/>
        </w:rPr>
      </w:pPr>
    </w:p>
    <w:p w14:paraId="3DE2DA26" w14:textId="77777777" w:rsidR="007C387F" w:rsidRPr="000437A8" w:rsidRDefault="007C387F"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 concluded the fourth quarter of 2018 net profit</w:t>
      </w:r>
      <w:r w:rsidRPr="000437A8">
        <w:rPr>
          <w:rFonts w:asciiTheme="majorBidi" w:eastAsia="David" w:hAnsiTheme="majorBidi" w:cstheme="majorBidi"/>
          <w:sz w:val="22"/>
          <w:szCs w:val="22"/>
          <w:lang w:val="en"/>
        </w:rPr>
        <w:t xml:space="preserve"> of approximately NIS 20.8 million (approximately NIS 19.2 million attributable to shareholders), as compared with approximately NIS 20.1 million (approximately NIS 19.9 million attributable to shareholders) in the corresponding period last year.</w:t>
      </w:r>
    </w:p>
    <w:p w14:paraId="42D7B8D9" w14:textId="77777777" w:rsidR="00CE7B10" w:rsidRPr="000437A8" w:rsidRDefault="00CE7B10" w:rsidP="0013481B">
      <w:pPr>
        <w:bidi w:val="0"/>
        <w:spacing w:line="276" w:lineRule="auto"/>
        <w:jc w:val="both"/>
        <w:rPr>
          <w:rFonts w:asciiTheme="majorBidi" w:eastAsia="David" w:hAnsiTheme="majorBidi" w:cstheme="majorBidi"/>
          <w:sz w:val="22"/>
          <w:szCs w:val="22"/>
          <w:rtl/>
        </w:rPr>
      </w:pPr>
    </w:p>
    <w:p w14:paraId="68DB3CE3" w14:textId="77777777" w:rsidR="00BD2C5C" w:rsidRPr="000437A8" w:rsidRDefault="00BD2C5C"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scope of cash and cash equivalents</w:t>
      </w:r>
      <w:r w:rsidRPr="000437A8">
        <w:rPr>
          <w:rFonts w:asciiTheme="majorBidi" w:eastAsia="David" w:hAnsiTheme="majorBidi" w:cstheme="majorBidi"/>
          <w:sz w:val="22"/>
          <w:szCs w:val="22"/>
          <w:lang w:val="en"/>
        </w:rPr>
        <w:t xml:space="preserve"> as of December 31, 2018, amounted to approximately NIS 105.3 million. </w:t>
      </w:r>
    </w:p>
    <w:p w14:paraId="3DBBCB6C" w14:textId="77777777" w:rsidR="00AC2F7B" w:rsidRPr="000437A8" w:rsidRDefault="00AC2F7B" w:rsidP="0013481B">
      <w:pPr>
        <w:bidi w:val="0"/>
        <w:spacing w:line="276" w:lineRule="auto"/>
        <w:jc w:val="both"/>
        <w:rPr>
          <w:rFonts w:asciiTheme="majorBidi" w:eastAsia="David" w:hAnsiTheme="majorBidi" w:cstheme="majorBidi"/>
          <w:b/>
          <w:bCs/>
          <w:sz w:val="22"/>
          <w:szCs w:val="22"/>
          <w:rtl/>
          <w:cs/>
        </w:rPr>
      </w:pPr>
    </w:p>
    <w:p w14:paraId="6877CAD8" w14:textId="77777777" w:rsidR="00AC2F7B" w:rsidRPr="000437A8" w:rsidRDefault="008D7940" w:rsidP="0013481B">
      <w:pPr>
        <w:bidi w:val="0"/>
        <w:spacing w:line="276" w:lineRule="auto"/>
        <w:jc w:val="both"/>
        <w:rPr>
          <w:rFonts w:asciiTheme="majorBidi" w:eastAsia="David" w:hAnsiTheme="majorBidi" w:cstheme="majorBidi"/>
          <w:sz w:val="22"/>
          <w:szCs w:val="22"/>
          <w:rtl/>
        </w:rPr>
      </w:pPr>
      <w:r w:rsidRPr="000437A8">
        <w:rPr>
          <w:rFonts w:asciiTheme="majorBidi" w:eastAsia="David" w:hAnsiTheme="majorBidi" w:cstheme="majorBidi"/>
          <w:b/>
          <w:bCs/>
          <w:sz w:val="22"/>
          <w:szCs w:val="22"/>
          <w:lang w:val="en"/>
        </w:rPr>
        <w:t>The Company</w:t>
      </w:r>
      <w:r w:rsidR="0013481B" w:rsidRPr="000437A8">
        <w:rPr>
          <w:rFonts w:asciiTheme="majorBidi" w:eastAsia="David" w:hAnsiTheme="majorBidi" w:cstheme="majorBidi"/>
          <w:b/>
          <w:bCs/>
          <w:sz w:val="22"/>
          <w:szCs w:val="22"/>
          <w:lang w:val="en"/>
        </w:rPr>
        <w:t>’</w:t>
      </w:r>
      <w:r w:rsidRPr="000437A8">
        <w:rPr>
          <w:rFonts w:asciiTheme="majorBidi" w:eastAsia="David" w:hAnsiTheme="majorBidi" w:cstheme="majorBidi"/>
          <w:b/>
          <w:bCs/>
          <w:sz w:val="22"/>
          <w:szCs w:val="22"/>
          <w:lang w:val="en"/>
        </w:rPr>
        <w:t xml:space="preserve">s equity </w:t>
      </w:r>
      <w:r w:rsidRPr="000437A8">
        <w:rPr>
          <w:rFonts w:asciiTheme="majorBidi" w:eastAsia="David" w:hAnsiTheme="majorBidi" w:cstheme="majorBidi"/>
          <w:sz w:val="22"/>
          <w:szCs w:val="22"/>
          <w:lang w:val="en"/>
        </w:rPr>
        <w:t>as of December 31, 2018 increased to approximately NIS 298.7 million, as compared with approximately NIS 268.4 million at the end of 2017.</w:t>
      </w:r>
      <w:r w:rsidR="0013481B" w:rsidRPr="000437A8">
        <w:rPr>
          <w:rFonts w:asciiTheme="majorBidi" w:eastAsia="David" w:hAnsiTheme="majorBidi" w:cstheme="majorBidi"/>
          <w:sz w:val="22"/>
          <w:szCs w:val="22"/>
          <w:lang w:val="en"/>
        </w:rPr>
        <w:t xml:space="preserve"> </w:t>
      </w:r>
    </w:p>
    <w:p w14:paraId="56ADADCA" w14:textId="77777777" w:rsidR="000D04EB" w:rsidRPr="000437A8" w:rsidRDefault="000D04EB" w:rsidP="0013481B">
      <w:pPr>
        <w:bidi w:val="0"/>
        <w:spacing w:line="276" w:lineRule="auto"/>
        <w:jc w:val="both"/>
        <w:rPr>
          <w:rFonts w:asciiTheme="majorBidi" w:eastAsia="David" w:hAnsiTheme="majorBidi" w:cstheme="majorBidi"/>
          <w:sz w:val="22"/>
          <w:szCs w:val="22"/>
          <w:rtl/>
        </w:rPr>
      </w:pPr>
    </w:p>
    <w:p w14:paraId="5FF0F8BF" w14:textId="77777777" w:rsidR="004F3DCD" w:rsidRPr="000437A8" w:rsidRDefault="004F3DCD" w:rsidP="0013481B">
      <w:pPr>
        <w:bidi w:val="0"/>
        <w:spacing w:line="276" w:lineRule="auto"/>
        <w:jc w:val="both"/>
        <w:rPr>
          <w:rFonts w:asciiTheme="majorBidi" w:hAnsiTheme="majorBidi" w:cstheme="majorBidi"/>
          <w:sz w:val="22"/>
          <w:szCs w:val="22"/>
        </w:rPr>
      </w:pPr>
      <w:r w:rsidRPr="000437A8">
        <w:rPr>
          <w:rFonts w:asciiTheme="majorBidi" w:hAnsiTheme="majorBidi" w:cstheme="majorBidi"/>
          <w:b/>
          <w:bCs/>
          <w:sz w:val="22"/>
          <w:szCs w:val="22"/>
          <w:lang w:val="en"/>
        </w:rPr>
        <w:t xml:space="preserve">One1 Software Technologies </w:t>
      </w:r>
      <w:r w:rsidRPr="000437A8">
        <w:rPr>
          <w:rFonts w:asciiTheme="majorBidi" w:hAnsiTheme="majorBidi" w:cstheme="majorBidi"/>
          <w:sz w:val="22"/>
          <w:szCs w:val="22"/>
          <w:lang w:val="en"/>
        </w:rPr>
        <w:t xml:space="preserve">is one of the leading IT companies in the industry. The Company provides end-to-end IT solutions through </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One1 Home for IT</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 xml:space="preserve"> to over 1,500 customers in various market segments, including telecom, industry, IT, banking and finance, insurance, retail, commerce, and more.</w:t>
      </w:r>
      <w:r w:rsidR="0013481B" w:rsidRPr="000437A8">
        <w:rPr>
          <w:rFonts w:asciiTheme="majorBidi" w:hAnsiTheme="majorBidi" w:cstheme="majorBidi"/>
          <w:sz w:val="22"/>
          <w:szCs w:val="22"/>
          <w:lang w:val="en"/>
        </w:rPr>
        <w:t xml:space="preserve"> </w:t>
      </w:r>
      <w:r w:rsidRPr="000437A8">
        <w:rPr>
          <w:rFonts w:asciiTheme="majorBidi" w:hAnsiTheme="majorBidi" w:cstheme="majorBidi"/>
          <w:sz w:val="22"/>
          <w:szCs w:val="22"/>
          <w:lang w:val="en"/>
        </w:rPr>
        <w:t>The Company employs over 3,000 professional employees in Israel and around the world. The Company operates based on a customer-focused strategy, and provides the full spectrum of IT solutions under one roof: From hardware infrastructure and advanced storage systems, to complex software solutions and projects. The Company is also engaged in the hardware products and IT systems marketing segment, and in the provision of comprehensive managed services in the organizational IT segment.</w:t>
      </w:r>
      <w:r w:rsidR="0013481B" w:rsidRPr="000437A8">
        <w:rPr>
          <w:rFonts w:asciiTheme="majorBidi" w:hAnsiTheme="majorBidi" w:cstheme="majorBidi"/>
          <w:sz w:val="22"/>
          <w:szCs w:val="22"/>
          <w:lang w:val="en"/>
        </w:rPr>
        <w:t xml:space="preserve"> </w:t>
      </w:r>
      <w:r w:rsidRPr="000437A8">
        <w:rPr>
          <w:rFonts w:asciiTheme="majorBidi" w:hAnsiTheme="majorBidi" w:cstheme="majorBidi"/>
          <w:sz w:val="22"/>
          <w:szCs w:val="22"/>
          <w:lang w:val="en"/>
        </w:rPr>
        <w:t>The Company</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s stock is included in the Tel Aviv 125 Index.</w:t>
      </w:r>
      <w:r w:rsidR="0013481B" w:rsidRPr="000437A8">
        <w:rPr>
          <w:rFonts w:asciiTheme="majorBidi" w:hAnsiTheme="majorBidi" w:cstheme="majorBidi"/>
          <w:sz w:val="22"/>
          <w:szCs w:val="22"/>
          <w:lang w:val="en"/>
        </w:rPr>
        <w:t xml:space="preserve"> </w:t>
      </w:r>
      <w:r w:rsidRPr="000437A8">
        <w:rPr>
          <w:rFonts w:asciiTheme="majorBidi" w:hAnsiTheme="majorBidi" w:cstheme="majorBidi"/>
          <w:sz w:val="22"/>
          <w:szCs w:val="22"/>
          <w:lang w:val="en"/>
        </w:rPr>
        <w:t>The Company</w:t>
      </w:r>
      <w:r w:rsidR="0013481B" w:rsidRPr="000437A8">
        <w:rPr>
          <w:rFonts w:asciiTheme="majorBidi" w:hAnsiTheme="majorBidi" w:cstheme="majorBidi"/>
          <w:sz w:val="22"/>
          <w:szCs w:val="22"/>
          <w:lang w:val="en"/>
        </w:rPr>
        <w:t>’</w:t>
      </w:r>
      <w:r w:rsidRPr="000437A8">
        <w:rPr>
          <w:rFonts w:asciiTheme="majorBidi" w:hAnsiTheme="majorBidi" w:cstheme="majorBidi"/>
          <w:sz w:val="22"/>
          <w:szCs w:val="22"/>
          <w:lang w:val="en"/>
        </w:rPr>
        <w:t>s CEO is Mr. Adi Eyal.</w:t>
      </w:r>
    </w:p>
    <w:p w14:paraId="3A839379" w14:textId="77777777" w:rsidR="004F3DCD" w:rsidRPr="000437A8" w:rsidRDefault="004F3DCD" w:rsidP="0013481B">
      <w:pPr>
        <w:bidi w:val="0"/>
        <w:jc w:val="center"/>
        <w:rPr>
          <w:rFonts w:asciiTheme="majorBidi" w:eastAsia="David" w:hAnsiTheme="majorBidi" w:cstheme="majorBidi"/>
          <w:b/>
          <w:bCs/>
          <w:sz w:val="22"/>
          <w:szCs w:val="22"/>
          <w:u w:val="single"/>
          <w:rtl/>
        </w:rPr>
      </w:pPr>
    </w:p>
    <w:p w14:paraId="64BD6BDC" w14:textId="77777777" w:rsidR="00314184" w:rsidRPr="000437A8" w:rsidRDefault="004F3DCD" w:rsidP="0013481B">
      <w:pPr>
        <w:bidi w:val="0"/>
        <w:jc w:val="center"/>
        <w:rPr>
          <w:rFonts w:asciiTheme="majorBidi" w:eastAsia="David" w:hAnsiTheme="majorBidi" w:cstheme="majorBidi"/>
          <w:b/>
          <w:bCs/>
          <w:sz w:val="22"/>
          <w:szCs w:val="22"/>
          <w:u w:val="single"/>
          <w:rtl/>
        </w:rPr>
      </w:pPr>
      <w:r w:rsidRPr="000437A8">
        <w:rPr>
          <w:rFonts w:asciiTheme="majorBidi" w:hAnsiTheme="majorBidi" w:cstheme="majorBidi"/>
          <w:b/>
          <w:bCs/>
          <w:sz w:val="22"/>
          <w:szCs w:val="22"/>
          <w:u w:val="single"/>
          <w:lang w:val="en"/>
        </w:rPr>
        <w:t xml:space="preserve">For details: Amir Eisenberg 0528-260285 Shy </w:t>
      </w:r>
      <w:proofErr w:type="spellStart"/>
      <w:r w:rsidRPr="000437A8">
        <w:rPr>
          <w:rFonts w:asciiTheme="majorBidi" w:hAnsiTheme="majorBidi" w:cstheme="majorBidi"/>
          <w:b/>
          <w:bCs/>
          <w:sz w:val="22"/>
          <w:szCs w:val="22"/>
          <w:u w:val="single"/>
          <w:lang w:val="en"/>
        </w:rPr>
        <w:t>Eliash</w:t>
      </w:r>
      <w:proofErr w:type="spellEnd"/>
      <w:r w:rsidRPr="000437A8">
        <w:rPr>
          <w:rFonts w:asciiTheme="majorBidi" w:hAnsiTheme="majorBidi" w:cstheme="majorBidi"/>
          <w:b/>
          <w:bCs/>
          <w:sz w:val="22"/>
          <w:szCs w:val="22"/>
          <w:u w:val="single"/>
          <w:lang w:val="en"/>
        </w:rPr>
        <w:t xml:space="preserve"> 0522-546635 Yossi Fink 052-4888857; Lee </w:t>
      </w:r>
      <w:proofErr w:type="spellStart"/>
      <w:r w:rsidRPr="000437A8">
        <w:rPr>
          <w:rFonts w:asciiTheme="majorBidi" w:hAnsiTheme="majorBidi" w:cstheme="majorBidi"/>
          <w:b/>
          <w:bCs/>
          <w:sz w:val="22"/>
          <w:szCs w:val="22"/>
          <w:u w:val="single"/>
          <w:lang w:val="en"/>
        </w:rPr>
        <w:t>Shein</w:t>
      </w:r>
      <w:proofErr w:type="spellEnd"/>
      <w:r w:rsidRPr="000437A8">
        <w:rPr>
          <w:rFonts w:asciiTheme="majorBidi" w:hAnsiTheme="majorBidi" w:cstheme="majorBidi"/>
          <w:b/>
          <w:bCs/>
          <w:sz w:val="22"/>
          <w:szCs w:val="22"/>
          <w:u w:val="single"/>
          <w:lang w:val="en"/>
        </w:rPr>
        <w:t xml:space="preserve"> 052-7512226 Yoav </w:t>
      </w:r>
      <w:proofErr w:type="spellStart"/>
      <w:r w:rsidRPr="000437A8">
        <w:rPr>
          <w:rFonts w:asciiTheme="majorBidi" w:hAnsiTheme="majorBidi" w:cstheme="majorBidi"/>
          <w:b/>
          <w:bCs/>
          <w:sz w:val="22"/>
          <w:szCs w:val="22"/>
          <w:u w:val="single"/>
          <w:lang w:val="en"/>
        </w:rPr>
        <w:t>Naimi</w:t>
      </w:r>
      <w:proofErr w:type="spellEnd"/>
      <w:r w:rsidRPr="000437A8">
        <w:rPr>
          <w:rFonts w:asciiTheme="majorBidi" w:hAnsiTheme="majorBidi" w:cstheme="majorBidi"/>
          <w:b/>
          <w:bCs/>
          <w:sz w:val="22"/>
          <w:szCs w:val="22"/>
          <w:u w:val="single"/>
          <w:lang w:val="en"/>
        </w:rPr>
        <w:t xml:space="preserve"> 054-6300933 Office: 03-7538828</w:t>
      </w:r>
    </w:p>
    <w:sectPr w:rsidR="00314184" w:rsidRPr="000437A8" w:rsidSect="007A306A">
      <w:headerReference w:type="default" r:id="rId8"/>
      <w:footerReference w:type="default" r:id="rId9"/>
      <w:pgSz w:w="11906" w:h="16838" w:code="9"/>
      <w:pgMar w:top="1440" w:right="1700" w:bottom="1440" w:left="184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A846" w14:textId="77777777" w:rsidR="001F3D49" w:rsidRDefault="001F3D49" w:rsidP="00582DE7">
      <w:pPr>
        <w:bidi w:val="0"/>
      </w:pPr>
      <w:r>
        <w:separator/>
      </w:r>
    </w:p>
  </w:endnote>
  <w:endnote w:type="continuationSeparator" w:id="0">
    <w:p w14:paraId="370FDB80" w14:textId="77777777" w:rsidR="001F3D49" w:rsidRDefault="001F3D49" w:rsidP="00582DE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7E6E" w14:textId="77777777" w:rsidR="007B6AC3" w:rsidRDefault="00906870">
    <w:pPr>
      <w:pStyle w:val="Footer"/>
      <w:bidi w:val="0"/>
    </w:pPr>
    <w:r>
      <w:rPr>
        <w:noProof/>
        <w:lang w:val="en"/>
      </w:rPr>
      <mc:AlternateContent>
        <mc:Choice Requires="wps">
          <w:drawing>
            <wp:anchor distT="0" distB="0" distL="114300" distR="114300" simplePos="0" relativeHeight="251658240" behindDoc="1" locked="1" layoutInCell="1" allowOverlap="1" wp14:anchorId="20015233" wp14:editId="6DBB2D2B">
              <wp:simplePos x="0" y="0"/>
              <wp:positionH relativeFrom="column">
                <wp:posOffset>-904875</wp:posOffset>
              </wp:positionH>
              <wp:positionV relativeFrom="page">
                <wp:posOffset>9763125</wp:posOffset>
              </wp:positionV>
              <wp:extent cx="7085965" cy="72390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85965" cy="723900"/>
                      </a:xfrm>
                      <a:prstGeom prst="rect">
                        <a:avLst/>
                      </a:prstGeom>
                      <a:noFill/>
                      <a:ln w="9525">
                        <a:noFill/>
                        <a:miter lim="800000"/>
                        <a:headEnd/>
                        <a:tailEnd/>
                      </a:ln>
                    </wps:spPr>
                    <wps:txbx>
                      <w:txbxContent>
                        <w:p w14:paraId="6A1A1801"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i/>
                              <w:iCs/>
                              <w:color w:val="1F497D"/>
                              <w:sz w:val="22"/>
                              <w:szCs w:val="22"/>
                              <w:rtl/>
                              <w:cs/>
                            </w:rPr>
                          </w:pPr>
                          <w:r w:rsidRPr="00C56F59">
                            <w:rPr>
                              <w:rFonts w:asciiTheme="majorBidi" w:hAnsiTheme="majorBidi" w:cstheme="majorBidi"/>
                              <w:b/>
                              <w:bCs/>
                              <w:i/>
                              <w:iCs/>
                            </w:rPr>
                            <w:t>Eisenberg-</w:t>
                          </w:r>
                          <w:proofErr w:type="spellStart"/>
                          <w:r w:rsidRPr="00C56F59">
                            <w:rPr>
                              <w:rFonts w:asciiTheme="majorBidi" w:hAnsiTheme="majorBidi" w:cstheme="majorBidi"/>
                              <w:b/>
                              <w:bCs/>
                              <w:i/>
                              <w:iCs/>
                            </w:rPr>
                            <w:t>Eliash</w:t>
                          </w:r>
                          <w:proofErr w:type="spellEnd"/>
                          <w:r w:rsidRPr="00C56F59">
                            <w:rPr>
                              <w:rFonts w:asciiTheme="majorBidi" w:hAnsiTheme="majorBidi" w:cstheme="majorBidi"/>
                              <w:b/>
                              <w:bCs/>
                              <w:i/>
                              <w:iCs/>
                            </w:rPr>
                            <w:t xml:space="preserve"> Investor Relations and Public Relations Ltd.</w:t>
                          </w:r>
                        </w:p>
                        <w:p w14:paraId="0617D487"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color w:val="0070C0"/>
                              <w:sz w:val="18"/>
                              <w:szCs w:val="18"/>
                              <w:rtl/>
                            </w:rPr>
                          </w:pPr>
                          <w:proofErr w:type="spellStart"/>
                          <w:r w:rsidRPr="00C56F59">
                            <w:rPr>
                              <w:rFonts w:asciiTheme="majorBidi" w:hAnsiTheme="majorBidi" w:cstheme="majorBidi"/>
                              <w:b/>
                              <w:bCs/>
                              <w:color w:val="0070C0"/>
                              <w:sz w:val="18"/>
                              <w:szCs w:val="18"/>
                            </w:rPr>
                            <w:t>Sason</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Hogi</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Bld</w:t>
                          </w:r>
                          <w:proofErr w:type="spellEnd"/>
                          <w:r w:rsidRPr="00C56F59">
                            <w:rPr>
                              <w:rFonts w:asciiTheme="majorBidi" w:hAnsiTheme="majorBidi" w:cstheme="majorBidi"/>
                              <w:b/>
                              <w:bCs/>
                              <w:color w:val="0070C0"/>
                              <w:sz w:val="18"/>
                              <w:szCs w:val="18"/>
                            </w:rPr>
                            <w:t xml:space="preserve">, 12 Abba Hillel </w:t>
                          </w:r>
                          <w:proofErr w:type="spellStart"/>
                          <w:r w:rsidRPr="00C56F59">
                            <w:rPr>
                              <w:rFonts w:asciiTheme="majorBidi" w:hAnsiTheme="majorBidi" w:cstheme="majorBidi"/>
                              <w:b/>
                              <w:bCs/>
                              <w:color w:val="0070C0"/>
                              <w:sz w:val="18"/>
                              <w:szCs w:val="18"/>
                            </w:rPr>
                            <w:t>st.</w:t>
                          </w:r>
                          <w:proofErr w:type="spellEnd"/>
                          <w:r w:rsidRPr="00C56F59">
                            <w:rPr>
                              <w:rFonts w:asciiTheme="majorBidi" w:hAnsiTheme="majorBidi" w:cstheme="majorBidi"/>
                              <w:b/>
                              <w:bCs/>
                              <w:color w:val="0070C0"/>
                              <w:sz w:val="18"/>
                              <w:szCs w:val="18"/>
                            </w:rPr>
                            <w:t xml:space="preserve"> Ramat Gan 52506, Israel, Tel 972-3-7538828, Fax 972-3-7538829, Email </w:t>
                          </w:r>
                          <w:r w:rsidRPr="00C56F59">
                            <w:rPr>
                              <w:rFonts w:asciiTheme="majorBidi" w:hAnsiTheme="majorBidi" w:cstheme="majorBidi"/>
                              <w:b/>
                              <w:bCs/>
                              <w:color w:val="0070C0"/>
                              <w:sz w:val="18"/>
                              <w:szCs w:val="18"/>
                              <w:u w:val="single"/>
                            </w:rPr>
                            <w:t>info@pr-ir.co.il</w:t>
                          </w:r>
                        </w:p>
                        <w:p w14:paraId="5B4103AD" w14:textId="77777777" w:rsidR="007B6AC3" w:rsidRPr="00C56F59" w:rsidRDefault="007B6AC3" w:rsidP="00B675E0">
                          <w:pPr>
                            <w:rPr>
                              <w:rFonts w:asciiTheme="majorBidi" w:hAnsiTheme="majorBidi" w:cstheme="majorBidi"/>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15233" id="_x0000_t202" coordsize="21600,21600" o:spt="202" path="m,l,21600r21600,l21600,xe">
              <v:stroke joinstyle="miter"/>
              <v:path gradientshapeok="t" o:connecttype="rect"/>
            </v:shapetype>
            <v:shape id="_x0000_s1027" type="#_x0000_t202" style="position:absolute;margin-left:-71.25pt;margin-top:768.75pt;width:557.95pt;height:5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" filled="f" stroked="f">
              <v:textbox>
                <w:txbxContent>
                  <w:p w14:paraId="6A1A1801"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i/>
                        <w:iCs/>
                        <w:color w:val="1F497D"/>
                        <w:sz w:val="22"/>
                        <w:szCs w:val="22"/>
                        <w:rtl/>
                        <w:cs/>
                      </w:rPr>
                    </w:pPr>
                    <w:r w:rsidRPr="00C56F59">
                      <w:rPr>
                        <w:rFonts w:asciiTheme="majorBidi" w:hAnsiTheme="majorBidi" w:cstheme="majorBidi"/>
                        <w:b/>
                        <w:bCs/>
                        <w:i/>
                        <w:iCs/>
                      </w:rPr>
                      <w:t>Eisenberg-</w:t>
                    </w:r>
                    <w:proofErr w:type="spellStart"/>
                    <w:r w:rsidRPr="00C56F59">
                      <w:rPr>
                        <w:rFonts w:asciiTheme="majorBidi" w:hAnsiTheme="majorBidi" w:cstheme="majorBidi"/>
                        <w:b/>
                        <w:bCs/>
                        <w:i/>
                        <w:iCs/>
                      </w:rPr>
                      <w:t>Eliash</w:t>
                    </w:r>
                    <w:proofErr w:type="spellEnd"/>
                    <w:r w:rsidRPr="00C56F59">
                      <w:rPr>
                        <w:rFonts w:asciiTheme="majorBidi" w:hAnsiTheme="majorBidi" w:cstheme="majorBidi"/>
                        <w:b/>
                        <w:bCs/>
                        <w:i/>
                        <w:iCs/>
                      </w:rPr>
                      <w:t xml:space="preserve"> Investor Relations and Public Relations Ltd.</w:t>
                    </w:r>
                  </w:p>
                  <w:p w14:paraId="0617D487" w14:textId="77777777" w:rsidR="00C56F59" w:rsidRPr="00C56F59" w:rsidRDefault="00C56F59" w:rsidP="00C56F59">
                    <w:pPr>
                      <w:pBdr>
                        <w:top w:val="threeDEngrave" w:sz="18" w:space="1" w:color="0070C0"/>
                      </w:pBdr>
                      <w:bidi w:val="0"/>
                      <w:spacing w:line="276" w:lineRule="auto"/>
                      <w:jc w:val="center"/>
                      <w:rPr>
                        <w:rFonts w:asciiTheme="majorBidi" w:hAnsiTheme="majorBidi" w:cstheme="majorBidi"/>
                        <w:b/>
                        <w:bCs/>
                        <w:color w:val="0070C0"/>
                        <w:sz w:val="18"/>
                        <w:szCs w:val="18"/>
                        <w:rtl/>
                      </w:rPr>
                    </w:pPr>
                    <w:proofErr w:type="spellStart"/>
                    <w:r w:rsidRPr="00C56F59">
                      <w:rPr>
                        <w:rFonts w:asciiTheme="majorBidi" w:hAnsiTheme="majorBidi" w:cstheme="majorBidi"/>
                        <w:b/>
                        <w:bCs/>
                        <w:color w:val="0070C0"/>
                        <w:sz w:val="18"/>
                        <w:szCs w:val="18"/>
                      </w:rPr>
                      <w:t>Sason</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Hogi</w:t>
                    </w:r>
                    <w:proofErr w:type="spellEnd"/>
                    <w:r w:rsidRPr="00C56F59">
                      <w:rPr>
                        <w:rFonts w:asciiTheme="majorBidi" w:hAnsiTheme="majorBidi" w:cstheme="majorBidi"/>
                        <w:b/>
                        <w:bCs/>
                        <w:color w:val="0070C0"/>
                        <w:sz w:val="18"/>
                        <w:szCs w:val="18"/>
                      </w:rPr>
                      <w:t xml:space="preserve"> </w:t>
                    </w:r>
                    <w:proofErr w:type="spellStart"/>
                    <w:r w:rsidRPr="00C56F59">
                      <w:rPr>
                        <w:rFonts w:asciiTheme="majorBidi" w:hAnsiTheme="majorBidi" w:cstheme="majorBidi"/>
                        <w:b/>
                        <w:bCs/>
                        <w:color w:val="0070C0"/>
                        <w:sz w:val="18"/>
                        <w:szCs w:val="18"/>
                      </w:rPr>
                      <w:t>Bld</w:t>
                    </w:r>
                    <w:proofErr w:type="spellEnd"/>
                    <w:r w:rsidRPr="00C56F59">
                      <w:rPr>
                        <w:rFonts w:asciiTheme="majorBidi" w:hAnsiTheme="majorBidi" w:cstheme="majorBidi"/>
                        <w:b/>
                        <w:bCs/>
                        <w:color w:val="0070C0"/>
                        <w:sz w:val="18"/>
                        <w:szCs w:val="18"/>
                      </w:rPr>
                      <w:t xml:space="preserve">, 12 Abba Hillel </w:t>
                    </w:r>
                    <w:proofErr w:type="spellStart"/>
                    <w:r w:rsidRPr="00C56F59">
                      <w:rPr>
                        <w:rFonts w:asciiTheme="majorBidi" w:hAnsiTheme="majorBidi" w:cstheme="majorBidi"/>
                        <w:b/>
                        <w:bCs/>
                        <w:color w:val="0070C0"/>
                        <w:sz w:val="18"/>
                        <w:szCs w:val="18"/>
                      </w:rPr>
                      <w:t>st.</w:t>
                    </w:r>
                    <w:proofErr w:type="spellEnd"/>
                    <w:r w:rsidRPr="00C56F59">
                      <w:rPr>
                        <w:rFonts w:asciiTheme="majorBidi" w:hAnsiTheme="majorBidi" w:cstheme="majorBidi"/>
                        <w:b/>
                        <w:bCs/>
                        <w:color w:val="0070C0"/>
                        <w:sz w:val="18"/>
                        <w:szCs w:val="18"/>
                      </w:rPr>
                      <w:t xml:space="preserve"> Ramat Gan 52506, Israel, Tel 972-3-7538828, Fax 972-3-7538829, Email </w:t>
                    </w:r>
                    <w:r w:rsidRPr="00C56F59">
                      <w:rPr>
                        <w:rFonts w:asciiTheme="majorBidi" w:hAnsiTheme="majorBidi" w:cstheme="majorBidi"/>
                        <w:b/>
                        <w:bCs/>
                        <w:color w:val="0070C0"/>
                        <w:sz w:val="18"/>
                        <w:szCs w:val="18"/>
                        <w:u w:val="single"/>
                      </w:rPr>
                      <w:t>info@pr-ir.co.il</w:t>
                    </w:r>
                  </w:p>
                  <w:p w14:paraId="5B4103AD" w14:textId="77777777" w:rsidR="007B6AC3" w:rsidRPr="00C56F59" w:rsidRDefault="007B6AC3" w:rsidP="00B675E0">
                    <w:pPr>
                      <w:rPr>
                        <w:rFonts w:asciiTheme="majorBidi" w:hAnsiTheme="majorBidi" w:cstheme="majorBidi"/>
                        <w:rtl/>
                        <w:cs/>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459F" w14:textId="77777777" w:rsidR="001F3D49" w:rsidRDefault="001F3D49" w:rsidP="00582DE7">
      <w:pPr>
        <w:bidi w:val="0"/>
      </w:pPr>
      <w:r>
        <w:separator/>
      </w:r>
    </w:p>
  </w:footnote>
  <w:footnote w:type="continuationSeparator" w:id="0">
    <w:p w14:paraId="2D22BF13" w14:textId="77777777" w:rsidR="001F3D49" w:rsidRDefault="001F3D49" w:rsidP="00582DE7">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37AF" w14:textId="77777777" w:rsidR="007B6AC3" w:rsidRDefault="00906870">
    <w:pPr>
      <w:pStyle w:val="Header"/>
      <w:bidi w:val="0"/>
      <w:rPr>
        <w:rtl/>
      </w:rPr>
    </w:pPr>
    <w:r>
      <w:rPr>
        <w:noProof/>
        <w:lang w:val="en"/>
      </w:rPr>
      <mc:AlternateContent>
        <mc:Choice Requires="wps">
          <w:drawing>
            <wp:anchor distT="0" distB="0" distL="114300" distR="114300" simplePos="0" relativeHeight="251657216" behindDoc="1" locked="1" layoutInCell="1" allowOverlap="1" wp14:anchorId="139CD82A" wp14:editId="031D8EF0">
              <wp:simplePos x="0" y="0"/>
              <wp:positionH relativeFrom="column">
                <wp:posOffset>-838835</wp:posOffset>
              </wp:positionH>
              <wp:positionV relativeFrom="page">
                <wp:posOffset>190500</wp:posOffset>
              </wp:positionV>
              <wp:extent cx="7134860" cy="732790"/>
              <wp:effectExtent l="0" t="0" r="0" b="635"/>
              <wp:wrapThrough wrapText="bothSides">
                <wp:wrapPolygon edited="0">
                  <wp:start x="0" y="0"/>
                  <wp:lineTo x="0" y="0"/>
                  <wp:lineTo x="0" y="0"/>
                </wp:wrapPolygon>
              </wp:wrapThrough>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3486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B5C5" w14:textId="77777777" w:rsidR="007B6AC3" w:rsidRDefault="00906870" w:rsidP="00A200E9">
                          <w:pPr>
                            <w:pBdr>
                              <w:bottom w:val="threeDEngrave" w:sz="18" w:space="1" w:color="0070C0"/>
                            </w:pBdr>
                            <w:bidi w:val="0"/>
                            <w:jc w:val="right"/>
                            <w:rPr>
                              <w:rtl/>
                              <w:cs/>
                            </w:rPr>
                          </w:pPr>
                          <w:r>
                            <w:rPr>
                              <w:noProof/>
                              <w:lang w:val="en"/>
                            </w:rPr>
                            <w:drawing>
                              <wp:inline distT="0" distB="0" distL="0" distR="0" wp14:anchorId="6ECC9EA1" wp14:editId="3AEE77C8">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9CD82A" id="_x0000_t202" coordsize="21600,21600" o:spt="202" path="m,l,21600r21600,l21600,xe">
              <v:stroke joinstyle="miter"/>
              <v:path gradientshapeok="t" o:connecttype="rect"/>
            </v:shapetype>
            <v:shape id="תיבת טקסט 2" o:spid="_x0000_s1026" type="#_x0000_t202" style="position:absolute;margin-left:-66.05pt;margin-top:15pt;width:561.8pt;height:57.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" filled="f" stroked="f">
              <v:textbox style="mso-fit-shape-to-text:t">
                <w:txbxContent>
                  <w:p w14:paraId="40C0B5C5" w14:textId="77777777" w:rsidR="007B6AC3" w:rsidRDefault="00906870" w:rsidP="00A200E9">
                    <w:pPr>
                      <w:pBdr>
                        <w:bottom w:val="threeDEngrave" w:sz="18" w:space="1" w:color="0070C0"/>
                      </w:pBdr>
                      <w:bidi w:val="0"/>
                      <w:jc w:val="right"/>
                      <w:rPr>
                        <w:rtl/>
                        <w:cs/>
                      </w:rPr>
                    </w:pPr>
                    <w:r>
                      <w:rPr>
                        <w:noProof/>
                        <w:lang w:val="en"/>
                      </w:rPr>
                      <w:drawing>
                        <wp:inline distT="0" distB="0" distL="0" distR="0" wp14:anchorId="6ECC9EA1" wp14:editId="3AEE77C8">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v:textbox>
              <w10:wrap type="through"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7EE1"/>
    <w:multiLevelType w:val="hybridMultilevel"/>
    <w:tmpl w:val="6C1E1CC8"/>
    <w:lvl w:ilvl="0" w:tplc="BF98C2DC">
      <w:start w:val="5"/>
      <w:numFmt w:val="bullet"/>
      <w:lvlText w:val=""/>
      <w:lvlJc w:val="left"/>
      <w:pPr>
        <w:ind w:left="-123" w:hanging="360"/>
      </w:pPr>
      <w:rPr>
        <w:rFonts w:ascii="Symbol" w:eastAsia="Times New Roman" w:hAnsi="Symbol" w:cs="David" w:hint="default"/>
        <w:b/>
      </w:rPr>
    </w:lvl>
    <w:lvl w:ilvl="1" w:tplc="04090003">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1" w15:restartNumberingAfterBreak="0">
    <w:nsid w:val="1EB9552B"/>
    <w:multiLevelType w:val="hybridMultilevel"/>
    <w:tmpl w:val="21786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A1C69"/>
    <w:multiLevelType w:val="hybridMultilevel"/>
    <w:tmpl w:val="B0A66112"/>
    <w:lvl w:ilvl="0" w:tplc="3B825CF6">
      <w:numFmt w:val="bullet"/>
      <w:lvlText w:val=""/>
      <w:lvlJc w:val="left"/>
      <w:pPr>
        <w:ind w:left="720" w:hanging="360"/>
      </w:pPr>
      <w:rPr>
        <w:rFonts w:ascii="Symbol" w:eastAsia="David"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F7455"/>
    <w:multiLevelType w:val="hybridMultilevel"/>
    <w:tmpl w:val="8514B140"/>
    <w:lvl w:ilvl="0" w:tplc="63C2672C">
      <w:numFmt w:val="bullet"/>
      <w:lvlText w:val=""/>
      <w:lvlJc w:val="left"/>
      <w:pPr>
        <w:ind w:left="720" w:hanging="360"/>
      </w:pPr>
      <w:rPr>
        <w:rFonts w:ascii="Symbol" w:eastAsia="Calibri" w:hAnsi="Symbol" w:cs="David" w:hint="default"/>
        <w:b/>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42DBE"/>
    <w:multiLevelType w:val="hybridMultilevel"/>
    <w:tmpl w:val="9BD821DE"/>
    <w:lvl w:ilvl="0" w:tplc="1F021A98">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5192"/>
    <w:multiLevelType w:val="hybridMultilevel"/>
    <w:tmpl w:val="E77C28F0"/>
    <w:lvl w:ilvl="0" w:tplc="04090001">
      <w:start w:val="1"/>
      <w:numFmt w:val="bullet"/>
      <w:lvlText w:val=""/>
      <w:lvlJc w:val="left"/>
      <w:pPr>
        <w:tabs>
          <w:tab w:val="num" w:pos="386"/>
        </w:tabs>
        <w:ind w:left="386" w:hanging="360"/>
      </w:pPr>
      <w:rPr>
        <w:rFonts w:ascii="Symbol" w:hAnsi="Symbol" w:hint="default"/>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6" w15:restartNumberingAfterBreak="0">
    <w:nsid w:val="71EF4035"/>
    <w:multiLevelType w:val="hybridMultilevel"/>
    <w:tmpl w:val="F0942660"/>
    <w:lvl w:ilvl="0" w:tplc="7B3C2198">
      <w:start w:val="1"/>
      <w:numFmt w:val="bullet"/>
      <w:lvlText w:val=""/>
      <w:lvlJc w:val="left"/>
      <w:pPr>
        <w:ind w:left="386" w:hanging="360"/>
      </w:pPr>
      <w:rPr>
        <w:rFonts w:ascii="Symbol" w:hAnsi="Symbol" w:hint="default"/>
        <w:lang w:bidi="he-IL"/>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4FA"/>
    <w:rsid w:val="00000A82"/>
    <w:rsid w:val="00000BBE"/>
    <w:rsid w:val="00003986"/>
    <w:rsid w:val="0001361E"/>
    <w:rsid w:val="00013660"/>
    <w:rsid w:val="00014624"/>
    <w:rsid w:val="0001635C"/>
    <w:rsid w:val="000164B1"/>
    <w:rsid w:val="0001716E"/>
    <w:rsid w:val="00017B22"/>
    <w:rsid w:val="00021064"/>
    <w:rsid w:val="00023558"/>
    <w:rsid w:val="00025D0F"/>
    <w:rsid w:val="0002691F"/>
    <w:rsid w:val="0002703F"/>
    <w:rsid w:val="000320D8"/>
    <w:rsid w:val="00033266"/>
    <w:rsid w:val="00037D2F"/>
    <w:rsid w:val="000437A8"/>
    <w:rsid w:val="00044709"/>
    <w:rsid w:val="00044ED9"/>
    <w:rsid w:val="00044FD1"/>
    <w:rsid w:val="000453A0"/>
    <w:rsid w:val="00050101"/>
    <w:rsid w:val="00054065"/>
    <w:rsid w:val="0005714D"/>
    <w:rsid w:val="000653C5"/>
    <w:rsid w:val="000666BE"/>
    <w:rsid w:val="00066E12"/>
    <w:rsid w:val="000706BD"/>
    <w:rsid w:val="00073C1F"/>
    <w:rsid w:val="00081941"/>
    <w:rsid w:val="00087261"/>
    <w:rsid w:val="000930DA"/>
    <w:rsid w:val="000933BE"/>
    <w:rsid w:val="00093972"/>
    <w:rsid w:val="000948D9"/>
    <w:rsid w:val="00097884"/>
    <w:rsid w:val="00097AA4"/>
    <w:rsid w:val="000A0EFD"/>
    <w:rsid w:val="000A149D"/>
    <w:rsid w:val="000A1850"/>
    <w:rsid w:val="000A234E"/>
    <w:rsid w:val="000A2499"/>
    <w:rsid w:val="000A24AA"/>
    <w:rsid w:val="000A2FC5"/>
    <w:rsid w:val="000A3ADA"/>
    <w:rsid w:val="000B2FF3"/>
    <w:rsid w:val="000B4E7A"/>
    <w:rsid w:val="000B668E"/>
    <w:rsid w:val="000B6A8D"/>
    <w:rsid w:val="000B6F01"/>
    <w:rsid w:val="000C13B1"/>
    <w:rsid w:val="000C14CF"/>
    <w:rsid w:val="000C4E55"/>
    <w:rsid w:val="000D04EB"/>
    <w:rsid w:val="000D0559"/>
    <w:rsid w:val="000D31F4"/>
    <w:rsid w:val="000D348E"/>
    <w:rsid w:val="000D3CF2"/>
    <w:rsid w:val="000D4437"/>
    <w:rsid w:val="000D7E71"/>
    <w:rsid w:val="000E024D"/>
    <w:rsid w:val="000E1024"/>
    <w:rsid w:val="000E323A"/>
    <w:rsid w:val="000E33BE"/>
    <w:rsid w:val="000F0B79"/>
    <w:rsid w:val="000F297D"/>
    <w:rsid w:val="000F79EA"/>
    <w:rsid w:val="001005C4"/>
    <w:rsid w:val="00100943"/>
    <w:rsid w:val="00101A2A"/>
    <w:rsid w:val="00101AD1"/>
    <w:rsid w:val="00105863"/>
    <w:rsid w:val="001159DA"/>
    <w:rsid w:val="00125116"/>
    <w:rsid w:val="0012746D"/>
    <w:rsid w:val="00127955"/>
    <w:rsid w:val="00131CA1"/>
    <w:rsid w:val="0013310A"/>
    <w:rsid w:val="001331E7"/>
    <w:rsid w:val="0013481B"/>
    <w:rsid w:val="001362D1"/>
    <w:rsid w:val="00140299"/>
    <w:rsid w:val="00142D08"/>
    <w:rsid w:val="00142FB7"/>
    <w:rsid w:val="00143124"/>
    <w:rsid w:val="0014312F"/>
    <w:rsid w:val="001432E7"/>
    <w:rsid w:val="00147D8D"/>
    <w:rsid w:val="00147F17"/>
    <w:rsid w:val="00151E10"/>
    <w:rsid w:val="00152416"/>
    <w:rsid w:val="00152B25"/>
    <w:rsid w:val="0015310A"/>
    <w:rsid w:val="001537D1"/>
    <w:rsid w:val="00154294"/>
    <w:rsid w:val="00154C52"/>
    <w:rsid w:val="00154FCF"/>
    <w:rsid w:val="001570FE"/>
    <w:rsid w:val="00157AF1"/>
    <w:rsid w:val="00157F30"/>
    <w:rsid w:val="0016040E"/>
    <w:rsid w:val="00160DD3"/>
    <w:rsid w:val="00161FE8"/>
    <w:rsid w:val="001632B2"/>
    <w:rsid w:val="00164C0A"/>
    <w:rsid w:val="00164FD4"/>
    <w:rsid w:val="001652F1"/>
    <w:rsid w:val="00165E4E"/>
    <w:rsid w:val="00166017"/>
    <w:rsid w:val="001666E7"/>
    <w:rsid w:val="00166845"/>
    <w:rsid w:val="001713ED"/>
    <w:rsid w:val="00171A98"/>
    <w:rsid w:val="00171C8B"/>
    <w:rsid w:val="0017333B"/>
    <w:rsid w:val="00176858"/>
    <w:rsid w:val="0018298C"/>
    <w:rsid w:val="00182C95"/>
    <w:rsid w:val="001839E9"/>
    <w:rsid w:val="001844CA"/>
    <w:rsid w:val="00187C11"/>
    <w:rsid w:val="00190F7A"/>
    <w:rsid w:val="00192F80"/>
    <w:rsid w:val="0019333F"/>
    <w:rsid w:val="00195885"/>
    <w:rsid w:val="001A2EBF"/>
    <w:rsid w:val="001A3ED3"/>
    <w:rsid w:val="001A4C71"/>
    <w:rsid w:val="001A56BA"/>
    <w:rsid w:val="001A61BA"/>
    <w:rsid w:val="001B2797"/>
    <w:rsid w:val="001B2CF8"/>
    <w:rsid w:val="001B36BE"/>
    <w:rsid w:val="001B38D2"/>
    <w:rsid w:val="001B5FC0"/>
    <w:rsid w:val="001B63C9"/>
    <w:rsid w:val="001B6469"/>
    <w:rsid w:val="001B767C"/>
    <w:rsid w:val="001C3A5D"/>
    <w:rsid w:val="001C75CB"/>
    <w:rsid w:val="001D02F3"/>
    <w:rsid w:val="001D0B5B"/>
    <w:rsid w:val="001D1025"/>
    <w:rsid w:val="001D1136"/>
    <w:rsid w:val="001D39E2"/>
    <w:rsid w:val="001D5E45"/>
    <w:rsid w:val="001E39B1"/>
    <w:rsid w:val="001E41C4"/>
    <w:rsid w:val="001E6E72"/>
    <w:rsid w:val="001E7146"/>
    <w:rsid w:val="001F298E"/>
    <w:rsid w:val="001F3D49"/>
    <w:rsid w:val="002019F9"/>
    <w:rsid w:val="00203007"/>
    <w:rsid w:val="00207BC1"/>
    <w:rsid w:val="00212B19"/>
    <w:rsid w:val="0021623F"/>
    <w:rsid w:val="0021721A"/>
    <w:rsid w:val="00217742"/>
    <w:rsid w:val="0022013B"/>
    <w:rsid w:val="0022178A"/>
    <w:rsid w:val="00221AA6"/>
    <w:rsid w:val="00224446"/>
    <w:rsid w:val="002263D4"/>
    <w:rsid w:val="00227C10"/>
    <w:rsid w:val="00230346"/>
    <w:rsid w:val="00230B94"/>
    <w:rsid w:val="00230C9D"/>
    <w:rsid w:val="002326AB"/>
    <w:rsid w:val="00232974"/>
    <w:rsid w:val="00233DF2"/>
    <w:rsid w:val="0023501A"/>
    <w:rsid w:val="00237B0E"/>
    <w:rsid w:val="0024177C"/>
    <w:rsid w:val="00241CBA"/>
    <w:rsid w:val="00245552"/>
    <w:rsid w:val="00246789"/>
    <w:rsid w:val="00250A76"/>
    <w:rsid w:val="00250DA1"/>
    <w:rsid w:val="002517FE"/>
    <w:rsid w:val="0025271A"/>
    <w:rsid w:val="0025283C"/>
    <w:rsid w:val="00255149"/>
    <w:rsid w:val="00255C5C"/>
    <w:rsid w:val="00255E2B"/>
    <w:rsid w:val="00257189"/>
    <w:rsid w:val="00257B86"/>
    <w:rsid w:val="00260C38"/>
    <w:rsid w:val="00261A37"/>
    <w:rsid w:val="00262F67"/>
    <w:rsid w:val="00264C81"/>
    <w:rsid w:val="002650B0"/>
    <w:rsid w:val="00265556"/>
    <w:rsid w:val="00265AEB"/>
    <w:rsid w:val="00267BB7"/>
    <w:rsid w:val="002726A4"/>
    <w:rsid w:val="002764FA"/>
    <w:rsid w:val="002768BC"/>
    <w:rsid w:val="0028037E"/>
    <w:rsid w:val="00280E2D"/>
    <w:rsid w:val="00283627"/>
    <w:rsid w:val="00284EFE"/>
    <w:rsid w:val="00285C0F"/>
    <w:rsid w:val="0029215F"/>
    <w:rsid w:val="00292DBE"/>
    <w:rsid w:val="00293747"/>
    <w:rsid w:val="00296F16"/>
    <w:rsid w:val="002A5B32"/>
    <w:rsid w:val="002A7957"/>
    <w:rsid w:val="002B48A5"/>
    <w:rsid w:val="002B5740"/>
    <w:rsid w:val="002B6F75"/>
    <w:rsid w:val="002B70CA"/>
    <w:rsid w:val="002B7B0F"/>
    <w:rsid w:val="002C2A5B"/>
    <w:rsid w:val="002C3B2E"/>
    <w:rsid w:val="002C53B5"/>
    <w:rsid w:val="002C7532"/>
    <w:rsid w:val="002D1038"/>
    <w:rsid w:val="002D349B"/>
    <w:rsid w:val="002D429B"/>
    <w:rsid w:val="002D4C7B"/>
    <w:rsid w:val="002D4EFF"/>
    <w:rsid w:val="002D7892"/>
    <w:rsid w:val="002E12AC"/>
    <w:rsid w:val="002E13CA"/>
    <w:rsid w:val="002E71E7"/>
    <w:rsid w:val="002E7CCD"/>
    <w:rsid w:val="002F0EC2"/>
    <w:rsid w:val="002F24E0"/>
    <w:rsid w:val="002F2D06"/>
    <w:rsid w:val="00302622"/>
    <w:rsid w:val="00303B7E"/>
    <w:rsid w:val="0030462A"/>
    <w:rsid w:val="00306A8B"/>
    <w:rsid w:val="00310752"/>
    <w:rsid w:val="00311065"/>
    <w:rsid w:val="00312C78"/>
    <w:rsid w:val="00312F46"/>
    <w:rsid w:val="00314184"/>
    <w:rsid w:val="00314920"/>
    <w:rsid w:val="00316C62"/>
    <w:rsid w:val="00316C88"/>
    <w:rsid w:val="003227A4"/>
    <w:rsid w:val="003230F7"/>
    <w:rsid w:val="003250B7"/>
    <w:rsid w:val="00325505"/>
    <w:rsid w:val="003270B8"/>
    <w:rsid w:val="003277BB"/>
    <w:rsid w:val="00330B89"/>
    <w:rsid w:val="00330D6B"/>
    <w:rsid w:val="00332649"/>
    <w:rsid w:val="0033776F"/>
    <w:rsid w:val="003420F9"/>
    <w:rsid w:val="00343693"/>
    <w:rsid w:val="0034388F"/>
    <w:rsid w:val="00343F1B"/>
    <w:rsid w:val="00344CA6"/>
    <w:rsid w:val="00345485"/>
    <w:rsid w:val="0035003D"/>
    <w:rsid w:val="00350464"/>
    <w:rsid w:val="00350CD6"/>
    <w:rsid w:val="00353B16"/>
    <w:rsid w:val="0035420B"/>
    <w:rsid w:val="00356BD0"/>
    <w:rsid w:val="00356C9C"/>
    <w:rsid w:val="00357268"/>
    <w:rsid w:val="00360589"/>
    <w:rsid w:val="0036095C"/>
    <w:rsid w:val="00361A35"/>
    <w:rsid w:val="00364B6F"/>
    <w:rsid w:val="00364CA3"/>
    <w:rsid w:val="00365993"/>
    <w:rsid w:val="00365EAF"/>
    <w:rsid w:val="00366E6B"/>
    <w:rsid w:val="00370D61"/>
    <w:rsid w:val="0037414A"/>
    <w:rsid w:val="003749C9"/>
    <w:rsid w:val="0037660C"/>
    <w:rsid w:val="00377C61"/>
    <w:rsid w:val="0038194A"/>
    <w:rsid w:val="00381C42"/>
    <w:rsid w:val="00381E2D"/>
    <w:rsid w:val="003822BF"/>
    <w:rsid w:val="00382375"/>
    <w:rsid w:val="003841DB"/>
    <w:rsid w:val="003850DD"/>
    <w:rsid w:val="00385B7E"/>
    <w:rsid w:val="00391049"/>
    <w:rsid w:val="00391393"/>
    <w:rsid w:val="003918B9"/>
    <w:rsid w:val="00392E45"/>
    <w:rsid w:val="003944F1"/>
    <w:rsid w:val="00394A26"/>
    <w:rsid w:val="003A17ED"/>
    <w:rsid w:val="003A375D"/>
    <w:rsid w:val="003A4A44"/>
    <w:rsid w:val="003A5B81"/>
    <w:rsid w:val="003A6164"/>
    <w:rsid w:val="003B03C7"/>
    <w:rsid w:val="003B2032"/>
    <w:rsid w:val="003B292D"/>
    <w:rsid w:val="003B2AC1"/>
    <w:rsid w:val="003B46A5"/>
    <w:rsid w:val="003B587C"/>
    <w:rsid w:val="003C4F39"/>
    <w:rsid w:val="003C62DA"/>
    <w:rsid w:val="003C7A7C"/>
    <w:rsid w:val="003D0CEE"/>
    <w:rsid w:val="003D31A9"/>
    <w:rsid w:val="003D33CC"/>
    <w:rsid w:val="003D3ACD"/>
    <w:rsid w:val="003D49C7"/>
    <w:rsid w:val="003D79BB"/>
    <w:rsid w:val="003D7EC8"/>
    <w:rsid w:val="003E0519"/>
    <w:rsid w:val="003E271D"/>
    <w:rsid w:val="003E3E8F"/>
    <w:rsid w:val="003E5548"/>
    <w:rsid w:val="003E5B51"/>
    <w:rsid w:val="003E6CA4"/>
    <w:rsid w:val="003E7637"/>
    <w:rsid w:val="003F2A52"/>
    <w:rsid w:val="003F45D6"/>
    <w:rsid w:val="003F5F9B"/>
    <w:rsid w:val="00400A3A"/>
    <w:rsid w:val="00403462"/>
    <w:rsid w:val="00407962"/>
    <w:rsid w:val="0041218F"/>
    <w:rsid w:val="004124B3"/>
    <w:rsid w:val="00416CED"/>
    <w:rsid w:val="0042027C"/>
    <w:rsid w:val="0042088D"/>
    <w:rsid w:val="004211A5"/>
    <w:rsid w:val="00423117"/>
    <w:rsid w:val="00426001"/>
    <w:rsid w:val="00430476"/>
    <w:rsid w:val="004305A7"/>
    <w:rsid w:val="004315B4"/>
    <w:rsid w:val="00433136"/>
    <w:rsid w:val="004334E7"/>
    <w:rsid w:val="00440BBB"/>
    <w:rsid w:val="0044276B"/>
    <w:rsid w:val="004436FA"/>
    <w:rsid w:val="00444142"/>
    <w:rsid w:val="0044786A"/>
    <w:rsid w:val="0045101D"/>
    <w:rsid w:val="00451B53"/>
    <w:rsid w:val="00455915"/>
    <w:rsid w:val="00461520"/>
    <w:rsid w:val="004619DE"/>
    <w:rsid w:val="00465641"/>
    <w:rsid w:val="00472A0A"/>
    <w:rsid w:val="00475E56"/>
    <w:rsid w:val="00477F8E"/>
    <w:rsid w:val="004804AB"/>
    <w:rsid w:val="004822E6"/>
    <w:rsid w:val="00483283"/>
    <w:rsid w:val="00483C24"/>
    <w:rsid w:val="00484DB2"/>
    <w:rsid w:val="00487050"/>
    <w:rsid w:val="00487C13"/>
    <w:rsid w:val="00487F29"/>
    <w:rsid w:val="00495B74"/>
    <w:rsid w:val="004A023E"/>
    <w:rsid w:val="004A40E2"/>
    <w:rsid w:val="004A421F"/>
    <w:rsid w:val="004A6581"/>
    <w:rsid w:val="004A66CB"/>
    <w:rsid w:val="004B28EA"/>
    <w:rsid w:val="004B2A6F"/>
    <w:rsid w:val="004B2C4B"/>
    <w:rsid w:val="004B5331"/>
    <w:rsid w:val="004B5433"/>
    <w:rsid w:val="004B6034"/>
    <w:rsid w:val="004C0339"/>
    <w:rsid w:val="004C2FC4"/>
    <w:rsid w:val="004C349F"/>
    <w:rsid w:val="004D086C"/>
    <w:rsid w:val="004D3528"/>
    <w:rsid w:val="004D3CC2"/>
    <w:rsid w:val="004D5F70"/>
    <w:rsid w:val="004D7D5E"/>
    <w:rsid w:val="004E07EC"/>
    <w:rsid w:val="004E22B3"/>
    <w:rsid w:val="004E3649"/>
    <w:rsid w:val="004E64D2"/>
    <w:rsid w:val="004E7083"/>
    <w:rsid w:val="004F1CED"/>
    <w:rsid w:val="004F2281"/>
    <w:rsid w:val="004F37A8"/>
    <w:rsid w:val="004F3DCD"/>
    <w:rsid w:val="0050129C"/>
    <w:rsid w:val="00502246"/>
    <w:rsid w:val="00502874"/>
    <w:rsid w:val="00503439"/>
    <w:rsid w:val="005042C5"/>
    <w:rsid w:val="0050584D"/>
    <w:rsid w:val="00507001"/>
    <w:rsid w:val="0050782D"/>
    <w:rsid w:val="0051284B"/>
    <w:rsid w:val="00513285"/>
    <w:rsid w:val="0051407D"/>
    <w:rsid w:val="00516EE3"/>
    <w:rsid w:val="0051759C"/>
    <w:rsid w:val="00517DF2"/>
    <w:rsid w:val="00525689"/>
    <w:rsid w:val="00526AAA"/>
    <w:rsid w:val="005311A9"/>
    <w:rsid w:val="0053272F"/>
    <w:rsid w:val="005350FC"/>
    <w:rsid w:val="00536FEB"/>
    <w:rsid w:val="005371EB"/>
    <w:rsid w:val="005375F5"/>
    <w:rsid w:val="00540CDC"/>
    <w:rsid w:val="00543351"/>
    <w:rsid w:val="0054336A"/>
    <w:rsid w:val="005462B1"/>
    <w:rsid w:val="00553A09"/>
    <w:rsid w:val="00554D01"/>
    <w:rsid w:val="005564B7"/>
    <w:rsid w:val="00560675"/>
    <w:rsid w:val="00562464"/>
    <w:rsid w:val="00562C26"/>
    <w:rsid w:val="00563451"/>
    <w:rsid w:val="00563B80"/>
    <w:rsid w:val="005669C9"/>
    <w:rsid w:val="00567323"/>
    <w:rsid w:val="00570858"/>
    <w:rsid w:val="00571106"/>
    <w:rsid w:val="0057129F"/>
    <w:rsid w:val="005749F4"/>
    <w:rsid w:val="00576CEF"/>
    <w:rsid w:val="00577560"/>
    <w:rsid w:val="0058058F"/>
    <w:rsid w:val="005817B5"/>
    <w:rsid w:val="00581AC8"/>
    <w:rsid w:val="00582DE7"/>
    <w:rsid w:val="00586B6F"/>
    <w:rsid w:val="00587563"/>
    <w:rsid w:val="00590992"/>
    <w:rsid w:val="005913E4"/>
    <w:rsid w:val="00593367"/>
    <w:rsid w:val="0059362A"/>
    <w:rsid w:val="00595C3E"/>
    <w:rsid w:val="00595F99"/>
    <w:rsid w:val="005A24FA"/>
    <w:rsid w:val="005A273A"/>
    <w:rsid w:val="005A4C78"/>
    <w:rsid w:val="005B2DA8"/>
    <w:rsid w:val="005B4A6C"/>
    <w:rsid w:val="005B5C41"/>
    <w:rsid w:val="005B5DAC"/>
    <w:rsid w:val="005B66F0"/>
    <w:rsid w:val="005B6F73"/>
    <w:rsid w:val="005C17B6"/>
    <w:rsid w:val="005C1B88"/>
    <w:rsid w:val="005C2698"/>
    <w:rsid w:val="005C3C94"/>
    <w:rsid w:val="005C4376"/>
    <w:rsid w:val="005C55C0"/>
    <w:rsid w:val="005C5CE0"/>
    <w:rsid w:val="005D053C"/>
    <w:rsid w:val="005D0996"/>
    <w:rsid w:val="005D1050"/>
    <w:rsid w:val="005D1878"/>
    <w:rsid w:val="005D660D"/>
    <w:rsid w:val="005D6F06"/>
    <w:rsid w:val="005D7624"/>
    <w:rsid w:val="005E18A9"/>
    <w:rsid w:val="005E55DE"/>
    <w:rsid w:val="005E7C47"/>
    <w:rsid w:val="005F0790"/>
    <w:rsid w:val="005F1020"/>
    <w:rsid w:val="005F1595"/>
    <w:rsid w:val="005F45AA"/>
    <w:rsid w:val="005F47AA"/>
    <w:rsid w:val="00601A54"/>
    <w:rsid w:val="006056A8"/>
    <w:rsid w:val="006056EE"/>
    <w:rsid w:val="006064FA"/>
    <w:rsid w:val="00606C07"/>
    <w:rsid w:val="00607102"/>
    <w:rsid w:val="0060732D"/>
    <w:rsid w:val="0061370A"/>
    <w:rsid w:val="00613B8B"/>
    <w:rsid w:val="0061520C"/>
    <w:rsid w:val="006205CB"/>
    <w:rsid w:val="006218CF"/>
    <w:rsid w:val="006223F4"/>
    <w:rsid w:val="00623086"/>
    <w:rsid w:val="006238BA"/>
    <w:rsid w:val="00625C67"/>
    <w:rsid w:val="0063328B"/>
    <w:rsid w:val="006358AF"/>
    <w:rsid w:val="00636D7E"/>
    <w:rsid w:val="0064209D"/>
    <w:rsid w:val="00647270"/>
    <w:rsid w:val="00647D48"/>
    <w:rsid w:val="00647E0D"/>
    <w:rsid w:val="006513DF"/>
    <w:rsid w:val="0065201E"/>
    <w:rsid w:val="006533F0"/>
    <w:rsid w:val="00653471"/>
    <w:rsid w:val="00656DAA"/>
    <w:rsid w:val="00662D23"/>
    <w:rsid w:val="00665957"/>
    <w:rsid w:val="006701E6"/>
    <w:rsid w:val="0067064B"/>
    <w:rsid w:val="00672DC3"/>
    <w:rsid w:val="00673833"/>
    <w:rsid w:val="0067492A"/>
    <w:rsid w:val="00676107"/>
    <w:rsid w:val="00676F7A"/>
    <w:rsid w:val="00677251"/>
    <w:rsid w:val="00681EF6"/>
    <w:rsid w:val="0068360A"/>
    <w:rsid w:val="00683E01"/>
    <w:rsid w:val="00683F09"/>
    <w:rsid w:val="00684660"/>
    <w:rsid w:val="0069114E"/>
    <w:rsid w:val="00691D2A"/>
    <w:rsid w:val="006A0270"/>
    <w:rsid w:val="006A23A2"/>
    <w:rsid w:val="006A265A"/>
    <w:rsid w:val="006A2A79"/>
    <w:rsid w:val="006A305D"/>
    <w:rsid w:val="006A4339"/>
    <w:rsid w:val="006A548E"/>
    <w:rsid w:val="006A601E"/>
    <w:rsid w:val="006A6046"/>
    <w:rsid w:val="006A65F6"/>
    <w:rsid w:val="006A6DD3"/>
    <w:rsid w:val="006A77C4"/>
    <w:rsid w:val="006A77E4"/>
    <w:rsid w:val="006B2FF4"/>
    <w:rsid w:val="006B7738"/>
    <w:rsid w:val="006C5E72"/>
    <w:rsid w:val="006C644C"/>
    <w:rsid w:val="006C78C2"/>
    <w:rsid w:val="006C7A3D"/>
    <w:rsid w:val="006D1A43"/>
    <w:rsid w:val="006D4DEC"/>
    <w:rsid w:val="006D6E4F"/>
    <w:rsid w:val="006D7C91"/>
    <w:rsid w:val="006E269A"/>
    <w:rsid w:val="006E3D2B"/>
    <w:rsid w:val="006E4DCF"/>
    <w:rsid w:val="006F07C4"/>
    <w:rsid w:val="006F1F36"/>
    <w:rsid w:val="006F2AE7"/>
    <w:rsid w:val="006F6A59"/>
    <w:rsid w:val="006F7DCA"/>
    <w:rsid w:val="00705DAB"/>
    <w:rsid w:val="00713C1A"/>
    <w:rsid w:val="00715AE2"/>
    <w:rsid w:val="00717742"/>
    <w:rsid w:val="00720AA2"/>
    <w:rsid w:val="00727125"/>
    <w:rsid w:val="00727E75"/>
    <w:rsid w:val="00735D49"/>
    <w:rsid w:val="00736D3B"/>
    <w:rsid w:val="00740CBD"/>
    <w:rsid w:val="00741EB7"/>
    <w:rsid w:val="007428E5"/>
    <w:rsid w:val="007442F7"/>
    <w:rsid w:val="007556BE"/>
    <w:rsid w:val="0075665F"/>
    <w:rsid w:val="00761463"/>
    <w:rsid w:val="0076285F"/>
    <w:rsid w:val="0076403A"/>
    <w:rsid w:val="00765D4C"/>
    <w:rsid w:val="00766F81"/>
    <w:rsid w:val="007674A1"/>
    <w:rsid w:val="00767B5E"/>
    <w:rsid w:val="00767E2C"/>
    <w:rsid w:val="007716B5"/>
    <w:rsid w:val="0077201E"/>
    <w:rsid w:val="0077247E"/>
    <w:rsid w:val="0077362B"/>
    <w:rsid w:val="00774BA1"/>
    <w:rsid w:val="00774D43"/>
    <w:rsid w:val="00780365"/>
    <w:rsid w:val="00780C19"/>
    <w:rsid w:val="00785EED"/>
    <w:rsid w:val="0078664A"/>
    <w:rsid w:val="00790502"/>
    <w:rsid w:val="00791407"/>
    <w:rsid w:val="00793EFD"/>
    <w:rsid w:val="00794085"/>
    <w:rsid w:val="00794750"/>
    <w:rsid w:val="00796F66"/>
    <w:rsid w:val="00797E81"/>
    <w:rsid w:val="007A006F"/>
    <w:rsid w:val="007A176E"/>
    <w:rsid w:val="007A306A"/>
    <w:rsid w:val="007A36A8"/>
    <w:rsid w:val="007A46A8"/>
    <w:rsid w:val="007A4F96"/>
    <w:rsid w:val="007A54DD"/>
    <w:rsid w:val="007A5987"/>
    <w:rsid w:val="007A65FD"/>
    <w:rsid w:val="007A7C1B"/>
    <w:rsid w:val="007B09DA"/>
    <w:rsid w:val="007B1556"/>
    <w:rsid w:val="007B30CC"/>
    <w:rsid w:val="007B4D12"/>
    <w:rsid w:val="007B6AC3"/>
    <w:rsid w:val="007B6B31"/>
    <w:rsid w:val="007B72F4"/>
    <w:rsid w:val="007B77F8"/>
    <w:rsid w:val="007C094C"/>
    <w:rsid w:val="007C1AC3"/>
    <w:rsid w:val="007C2519"/>
    <w:rsid w:val="007C387F"/>
    <w:rsid w:val="007C4837"/>
    <w:rsid w:val="007C63CE"/>
    <w:rsid w:val="007C6716"/>
    <w:rsid w:val="007D298A"/>
    <w:rsid w:val="007D37B9"/>
    <w:rsid w:val="007D68EE"/>
    <w:rsid w:val="007D7553"/>
    <w:rsid w:val="007D7625"/>
    <w:rsid w:val="007E3D80"/>
    <w:rsid w:val="007E7F82"/>
    <w:rsid w:val="007F009F"/>
    <w:rsid w:val="007F050A"/>
    <w:rsid w:val="007F104F"/>
    <w:rsid w:val="007F1FEE"/>
    <w:rsid w:val="007F2053"/>
    <w:rsid w:val="007F3752"/>
    <w:rsid w:val="007F5EB8"/>
    <w:rsid w:val="008006A6"/>
    <w:rsid w:val="00800B61"/>
    <w:rsid w:val="00801C2A"/>
    <w:rsid w:val="00802BDA"/>
    <w:rsid w:val="00802BF4"/>
    <w:rsid w:val="00806061"/>
    <w:rsid w:val="00807005"/>
    <w:rsid w:val="0080738E"/>
    <w:rsid w:val="008103A4"/>
    <w:rsid w:val="00810A71"/>
    <w:rsid w:val="00810D4C"/>
    <w:rsid w:val="008127BD"/>
    <w:rsid w:val="00812917"/>
    <w:rsid w:val="00813940"/>
    <w:rsid w:val="00816218"/>
    <w:rsid w:val="008179D5"/>
    <w:rsid w:val="00821910"/>
    <w:rsid w:val="0082208C"/>
    <w:rsid w:val="00825B3C"/>
    <w:rsid w:val="00833F61"/>
    <w:rsid w:val="00844935"/>
    <w:rsid w:val="00844D40"/>
    <w:rsid w:val="00850BCA"/>
    <w:rsid w:val="00851BBD"/>
    <w:rsid w:val="00855796"/>
    <w:rsid w:val="00857E88"/>
    <w:rsid w:val="008626A2"/>
    <w:rsid w:val="00863790"/>
    <w:rsid w:val="0086485A"/>
    <w:rsid w:val="0086538D"/>
    <w:rsid w:val="00866793"/>
    <w:rsid w:val="00871216"/>
    <w:rsid w:val="00871CED"/>
    <w:rsid w:val="00872E5C"/>
    <w:rsid w:val="008744B7"/>
    <w:rsid w:val="0087591B"/>
    <w:rsid w:val="00881BEA"/>
    <w:rsid w:val="0088272B"/>
    <w:rsid w:val="008844A8"/>
    <w:rsid w:val="008869EF"/>
    <w:rsid w:val="00886D42"/>
    <w:rsid w:val="00892A83"/>
    <w:rsid w:val="00892EA5"/>
    <w:rsid w:val="00894854"/>
    <w:rsid w:val="00895311"/>
    <w:rsid w:val="0089569D"/>
    <w:rsid w:val="00895BC6"/>
    <w:rsid w:val="00896B43"/>
    <w:rsid w:val="00896E43"/>
    <w:rsid w:val="0089762F"/>
    <w:rsid w:val="00897D86"/>
    <w:rsid w:val="008A2223"/>
    <w:rsid w:val="008A27B6"/>
    <w:rsid w:val="008A2A1E"/>
    <w:rsid w:val="008A50D7"/>
    <w:rsid w:val="008A6120"/>
    <w:rsid w:val="008B7C0C"/>
    <w:rsid w:val="008C34EF"/>
    <w:rsid w:val="008C4995"/>
    <w:rsid w:val="008C64FE"/>
    <w:rsid w:val="008C7C75"/>
    <w:rsid w:val="008D5706"/>
    <w:rsid w:val="008D5740"/>
    <w:rsid w:val="008D6E37"/>
    <w:rsid w:val="008D7940"/>
    <w:rsid w:val="008E089D"/>
    <w:rsid w:val="008E1044"/>
    <w:rsid w:val="008E198D"/>
    <w:rsid w:val="008E3744"/>
    <w:rsid w:val="008E6D24"/>
    <w:rsid w:val="008E79E1"/>
    <w:rsid w:val="008F212E"/>
    <w:rsid w:val="008F564C"/>
    <w:rsid w:val="008F5824"/>
    <w:rsid w:val="008F7C41"/>
    <w:rsid w:val="00900996"/>
    <w:rsid w:val="009035A9"/>
    <w:rsid w:val="0090686A"/>
    <w:rsid w:val="00906870"/>
    <w:rsid w:val="00906A6D"/>
    <w:rsid w:val="00910CBA"/>
    <w:rsid w:val="00913D4A"/>
    <w:rsid w:val="0091415D"/>
    <w:rsid w:val="009142A8"/>
    <w:rsid w:val="00915755"/>
    <w:rsid w:val="00916C65"/>
    <w:rsid w:val="0092174F"/>
    <w:rsid w:val="00922B9E"/>
    <w:rsid w:val="00924993"/>
    <w:rsid w:val="00931E9A"/>
    <w:rsid w:val="00935B16"/>
    <w:rsid w:val="00942D42"/>
    <w:rsid w:val="009445D0"/>
    <w:rsid w:val="0094503E"/>
    <w:rsid w:val="00945469"/>
    <w:rsid w:val="009458E7"/>
    <w:rsid w:val="0095666E"/>
    <w:rsid w:val="00957112"/>
    <w:rsid w:val="00961846"/>
    <w:rsid w:val="00963098"/>
    <w:rsid w:val="00963404"/>
    <w:rsid w:val="00963641"/>
    <w:rsid w:val="009638DC"/>
    <w:rsid w:val="00966210"/>
    <w:rsid w:val="0096667E"/>
    <w:rsid w:val="00967E75"/>
    <w:rsid w:val="00970C3A"/>
    <w:rsid w:val="00975F94"/>
    <w:rsid w:val="009801C2"/>
    <w:rsid w:val="0098432F"/>
    <w:rsid w:val="009866E2"/>
    <w:rsid w:val="009918FA"/>
    <w:rsid w:val="00993655"/>
    <w:rsid w:val="0099469C"/>
    <w:rsid w:val="00995885"/>
    <w:rsid w:val="00997061"/>
    <w:rsid w:val="009A1047"/>
    <w:rsid w:val="009A4BF2"/>
    <w:rsid w:val="009A5D9F"/>
    <w:rsid w:val="009B030E"/>
    <w:rsid w:val="009B2E6F"/>
    <w:rsid w:val="009B3057"/>
    <w:rsid w:val="009B4B03"/>
    <w:rsid w:val="009B66A1"/>
    <w:rsid w:val="009C0A88"/>
    <w:rsid w:val="009C1086"/>
    <w:rsid w:val="009C3DCE"/>
    <w:rsid w:val="009C3FCA"/>
    <w:rsid w:val="009C46FF"/>
    <w:rsid w:val="009C501C"/>
    <w:rsid w:val="009C528A"/>
    <w:rsid w:val="009C531B"/>
    <w:rsid w:val="009C691F"/>
    <w:rsid w:val="009D0641"/>
    <w:rsid w:val="009D2E42"/>
    <w:rsid w:val="009D3A38"/>
    <w:rsid w:val="009D70DC"/>
    <w:rsid w:val="009E2DB2"/>
    <w:rsid w:val="009E628F"/>
    <w:rsid w:val="009E6E12"/>
    <w:rsid w:val="009E6F75"/>
    <w:rsid w:val="009F5A70"/>
    <w:rsid w:val="009F6EF1"/>
    <w:rsid w:val="00A0040E"/>
    <w:rsid w:val="00A00B4A"/>
    <w:rsid w:val="00A01264"/>
    <w:rsid w:val="00A018E8"/>
    <w:rsid w:val="00A03F57"/>
    <w:rsid w:val="00A0551B"/>
    <w:rsid w:val="00A1498D"/>
    <w:rsid w:val="00A16BFB"/>
    <w:rsid w:val="00A174A7"/>
    <w:rsid w:val="00A200E9"/>
    <w:rsid w:val="00A21EB6"/>
    <w:rsid w:val="00A231D3"/>
    <w:rsid w:val="00A26303"/>
    <w:rsid w:val="00A31269"/>
    <w:rsid w:val="00A3144B"/>
    <w:rsid w:val="00A319A3"/>
    <w:rsid w:val="00A34C00"/>
    <w:rsid w:val="00A35661"/>
    <w:rsid w:val="00A401C5"/>
    <w:rsid w:val="00A41B08"/>
    <w:rsid w:val="00A44DA1"/>
    <w:rsid w:val="00A45FDD"/>
    <w:rsid w:val="00A4657B"/>
    <w:rsid w:val="00A52861"/>
    <w:rsid w:val="00A545D5"/>
    <w:rsid w:val="00A5576D"/>
    <w:rsid w:val="00A572A0"/>
    <w:rsid w:val="00A57F4E"/>
    <w:rsid w:val="00A62876"/>
    <w:rsid w:val="00A63A9B"/>
    <w:rsid w:val="00A641C6"/>
    <w:rsid w:val="00A641E7"/>
    <w:rsid w:val="00A6468B"/>
    <w:rsid w:val="00A64768"/>
    <w:rsid w:val="00A66564"/>
    <w:rsid w:val="00A66FBE"/>
    <w:rsid w:val="00A70BBE"/>
    <w:rsid w:val="00A723CD"/>
    <w:rsid w:val="00A763B3"/>
    <w:rsid w:val="00A76F98"/>
    <w:rsid w:val="00A8090D"/>
    <w:rsid w:val="00A8092C"/>
    <w:rsid w:val="00A83BE2"/>
    <w:rsid w:val="00A87860"/>
    <w:rsid w:val="00A913AA"/>
    <w:rsid w:val="00A940AF"/>
    <w:rsid w:val="00A946AE"/>
    <w:rsid w:val="00AA2207"/>
    <w:rsid w:val="00AA3210"/>
    <w:rsid w:val="00AA33FA"/>
    <w:rsid w:val="00AA42B3"/>
    <w:rsid w:val="00AB0F2A"/>
    <w:rsid w:val="00AB2DFC"/>
    <w:rsid w:val="00AC14C6"/>
    <w:rsid w:val="00AC14DB"/>
    <w:rsid w:val="00AC1727"/>
    <w:rsid w:val="00AC2F7B"/>
    <w:rsid w:val="00AC5C87"/>
    <w:rsid w:val="00AD58A2"/>
    <w:rsid w:val="00AD59C4"/>
    <w:rsid w:val="00AD6B27"/>
    <w:rsid w:val="00AD736F"/>
    <w:rsid w:val="00AF3DFC"/>
    <w:rsid w:val="00B006AA"/>
    <w:rsid w:val="00B026C3"/>
    <w:rsid w:val="00B02EC1"/>
    <w:rsid w:val="00B054A0"/>
    <w:rsid w:val="00B057F4"/>
    <w:rsid w:val="00B10D4A"/>
    <w:rsid w:val="00B11D11"/>
    <w:rsid w:val="00B11F8D"/>
    <w:rsid w:val="00B12867"/>
    <w:rsid w:val="00B15C1D"/>
    <w:rsid w:val="00B16A13"/>
    <w:rsid w:val="00B20A87"/>
    <w:rsid w:val="00B22896"/>
    <w:rsid w:val="00B23976"/>
    <w:rsid w:val="00B24E2A"/>
    <w:rsid w:val="00B25D4D"/>
    <w:rsid w:val="00B25ED1"/>
    <w:rsid w:val="00B2657E"/>
    <w:rsid w:val="00B272C6"/>
    <w:rsid w:val="00B27F8C"/>
    <w:rsid w:val="00B31E5F"/>
    <w:rsid w:val="00B33A81"/>
    <w:rsid w:val="00B33FAF"/>
    <w:rsid w:val="00B36C42"/>
    <w:rsid w:val="00B374C7"/>
    <w:rsid w:val="00B40418"/>
    <w:rsid w:val="00B415F6"/>
    <w:rsid w:val="00B41FE7"/>
    <w:rsid w:val="00B446C2"/>
    <w:rsid w:val="00B45510"/>
    <w:rsid w:val="00B47101"/>
    <w:rsid w:val="00B47CD8"/>
    <w:rsid w:val="00B54E44"/>
    <w:rsid w:val="00B56749"/>
    <w:rsid w:val="00B57565"/>
    <w:rsid w:val="00B62DC2"/>
    <w:rsid w:val="00B64AB5"/>
    <w:rsid w:val="00B64D19"/>
    <w:rsid w:val="00B66045"/>
    <w:rsid w:val="00B668BC"/>
    <w:rsid w:val="00B675E0"/>
    <w:rsid w:val="00B70FB1"/>
    <w:rsid w:val="00B71608"/>
    <w:rsid w:val="00B74388"/>
    <w:rsid w:val="00B7565B"/>
    <w:rsid w:val="00B75790"/>
    <w:rsid w:val="00B80901"/>
    <w:rsid w:val="00B83E03"/>
    <w:rsid w:val="00B85347"/>
    <w:rsid w:val="00B85D23"/>
    <w:rsid w:val="00B86699"/>
    <w:rsid w:val="00B8729E"/>
    <w:rsid w:val="00B87EAD"/>
    <w:rsid w:val="00B907E4"/>
    <w:rsid w:val="00B9143F"/>
    <w:rsid w:val="00B91650"/>
    <w:rsid w:val="00B92B88"/>
    <w:rsid w:val="00B93ADE"/>
    <w:rsid w:val="00B95ACC"/>
    <w:rsid w:val="00B95D5F"/>
    <w:rsid w:val="00BA1E7C"/>
    <w:rsid w:val="00BA3D0C"/>
    <w:rsid w:val="00BA4B43"/>
    <w:rsid w:val="00BA6B9A"/>
    <w:rsid w:val="00BA797F"/>
    <w:rsid w:val="00BA7AD6"/>
    <w:rsid w:val="00BB0C8C"/>
    <w:rsid w:val="00BB1061"/>
    <w:rsid w:val="00BB1078"/>
    <w:rsid w:val="00BB3CA8"/>
    <w:rsid w:val="00BB41A1"/>
    <w:rsid w:val="00BB49FD"/>
    <w:rsid w:val="00BB719D"/>
    <w:rsid w:val="00BC0226"/>
    <w:rsid w:val="00BC5181"/>
    <w:rsid w:val="00BC566B"/>
    <w:rsid w:val="00BC7606"/>
    <w:rsid w:val="00BD2320"/>
    <w:rsid w:val="00BD2C5C"/>
    <w:rsid w:val="00BD4509"/>
    <w:rsid w:val="00BE283B"/>
    <w:rsid w:val="00BE286C"/>
    <w:rsid w:val="00BE2E1B"/>
    <w:rsid w:val="00BE452E"/>
    <w:rsid w:val="00BE4B7A"/>
    <w:rsid w:val="00BE6643"/>
    <w:rsid w:val="00BE6684"/>
    <w:rsid w:val="00BE6A33"/>
    <w:rsid w:val="00BE6A3E"/>
    <w:rsid w:val="00BE7A45"/>
    <w:rsid w:val="00BF07A1"/>
    <w:rsid w:val="00BF32DC"/>
    <w:rsid w:val="00BF3405"/>
    <w:rsid w:val="00BF470A"/>
    <w:rsid w:val="00BF5056"/>
    <w:rsid w:val="00C06AA3"/>
    <w:rsid w:val="00C075B7"/>
    <w:rsid w:val="00C07EB3"/>
    <w:rsid w:val="00C12CC6"/>
    <w:rsid w:val="00C14CCE"/>
    <w:rsid w:val="00C150F4"/>
    <w:rsid w:val="00C155AC"/>
    <w:rsid w:val="00C16D3F"/>
    <w:rsid w:val="00C17572"/>
    <w:rsid w:val="00C227DC"/>
    <w:rsid w:val="00C2423F"/>
    <w:rsid w:val="00C25EC2"/>
    <w:rsid w:val="00C27177"/>
    <w:rsid w:val="00C27D1E"/>
    <w:rsid w:val="00C31C13"/>
    <w:rsid w:val="00C32511"/>
    <w:rsid w:val="00C32C1B"/>
    <w:rsid w:val="00C35BF8"/>
    <w:rsid w:val="00C3638A"/>
    <w:rsid w:val="00C36E59"/>
    <w:rsid w:val="00C42764"/>
    <w:rsid w:val="00C44892"/>
    <w:rsid w:val="00C46464"/>
    <w:rsid w:val="00C51256"/>
    <w:rsid w:val="00C545B3"/>
    <w:rsid w:val="00C566A9"/>
    <w:rsid w:val="00C56F59"/>
    <w:rsid w:val="00C61405"/>
    <w:rsid w:val="00C630CF"/>
    <w:rsid w:val="00C67588"/>
    <w:rsid w:val="00C7323F"/>
    <w:rsid w:val="00C746A0"/>
    <w:rsid w:val="00C76840"/>
    <w:rsid w:val="00C80FAE"/>
    <w:rsid w:val="00C8125F"/>
    <w:rsid w:val="00C815E6"/>
    <w:rsid w:val="00C82047"/>
    <w:rsid w:val="00C85D88"/>
    <w:rsid w:val="00C86795"/>
    <w:rsid w:val="00C86A53"/>
    <w:rsid w:val="00C87BE8"/>
    <w:rsid w:val="00C91400"/>
    <w:rsid w:val="00C92228"/>
    <w:rsid w:val="00C922BD"/>
    <w:rsid w:val="00C9287A"/>
    <w:rsid w:val="00C93627"/>
    <w:rsid w:val="00C95C76"/>
    <w:rsid w:val="00C96630"/>
    <w:rsid w:val="00C96C32"/>
    <w:rsid w:val="00C96CE5"/>
    <w:rsid w:val="00C977D4"/>
    <w:rsid w:val="00CA2736"/>
    <w:rsid w:val="00CA3E43"/>
    <w:rsid w:val="00CA58F1"/>
    <w:rsid w:val="00CB17F7"/>
    <w:rsid w:val="00CB2141"/>
    <w:rsid w:val="00CB246D"/>
    <w:rsid w:val="00CB37B2"/>
    <w:rsid w:val="00CB5E4E"/>
    <w:rsid w:val="00CB6614"/>
    <w:rsid w:val="00CB6AE2"/>
    <w:rsid w:val="00CB75FD"/>
    <w:rsid w:val="00CC049F"/>
    <w:rsid w:val="00CC2394"/>
    <w:rsid w:val="00CC2AD7"/>
    <w:rsid w:val="00CC3799"/>
    <w:rsid w:val="00CC47A4"/>
    <w:rsid w:val="00CC4D04"/>
    <w:rsid w:val="00CC5698"/>
    <w:rsid w:val="00CC5750"/>
    <w:rsid w:val="00CC648E"/>
    <w:rsid w:val="00CC704F"/>
    <w:rsid w:val="00CD1579"/>
    <w:rsid w:val="00CD407C"/>
    <w:rsid w:val="00CD4D8D"/>
    <w:rsid w:val="00CD5540"/>
    <w:rsid w:val="00CE2F45"/>
    <w:rsid w:val="00CE4379"/>
    <w:rsid w:val="00CE6511"/>
    <w:rsid w:val="00CE7B10"/>
    <w:rsid w:val="00CE7FE7"/>
    <w:rsid w:val="00CF0C7D"/>
    <w:rsid w:val="00CF3DC6"/>
    <w:rsid w:val="00D0092A"/>
    <w:rsid w:val="00D011EE"/>
    <w:rsid w:val="00D0425A"/>
    <w:rsid w:val="00D060B2"/>
    <w:rsid w:val="00D06E03"/>
    <w:rsid w:val="00D0726E"/>
    <w:rsid w:val="00D07766"/>
    <w:rsid w:val="00D125AC"/>
    <w:rsid w:val="00D12602"/>
    <w:rsid w:val="00D13732"/>
    <w:rsid w:val="00D16754"/>
    <w:rsid w:val="00D214A0"/>
    <w:rsid w:val="00D21A6D"/>
    <w:rsid w:val="00D23ACA"/>
    <w:rsid w:val="00D24D55"/>
    <w:rsid w:val="00D25AE6"/>
    <w:rsid w:val="00D278F5"/>
    <w:rsid w:val="00D32051"/>
    <w:rsid w:val="00D34007"/>
    <w:rsid w:val="00D36F03"/>
    <w:rsid w:val="00D37C21"/>
    <w:rsid w:val="00D45EB0"/>
    <w:rsid w:val="00D562D0"/>
    <w:rsid w:val="00D57039"/>
    <w:rsid w:val="00D6067E"/>
    <w:rsid w:val="00D6682F"/>
    <w:rsid w:val="00D73089"/>
    <w:rsid w:val="00D73B8B"/>
    <w:rsid w:val="00D826CF"/>
    <w:rsid w:val="00D910AE"/>
    <w:rsid w:val="00D9427F"/>
    <w:rsid w:val="00D94D75"/>
    <w:rsid w:val="00D95DB3"/>
    <w:rsid w:val="00DA11DE"/>
    <w:rsid w:val="00DA1211"/>
    <w:rsid w:val="00DA1ECB"/>
    <w:rsid w:val="00DA2358"/>
    <w:rsid w:val="00DA2ACE"/>
    <w:rsid w:val="00DA3D22"/>
    <w:rsid w:val="00DA734E"/>
    <w:rsid w:val="00DB009D"/>
    <w:rsid w:val="00DB0829"/>
    <w:rsid w:val="00DB0FA5"/>
    <w:rsid w:val="00DB2197"/>
    <w:rsid w:val="00DB3364"/>
    <w:rsid w:val="00DB41FA"/>
    <w:rsid w:val="00DB58B4"/>
    <w:rsid w:val="00DC1A43"/>
    <w:rsid w:val="00DC1D2C"/>
    <w:rsid w:val="00DC2019"/>
    <w:rsid w:val="00DC23EE"/>
    <w:rsid w:val="00DC3C27"/>
    <w:rsid w:val="00DC5882"/>
    <w:rsid w:val="00DC77BA"/>
    <w:rsid w:val="00DC7DE8"/>
    <w:rsid w:val="00DD0446"/>
    <w:rsid w:val="00DD5B76"/>
    <w:rsid w:val="00DD6B9B"/>
    <w:rsid w:val="00DE3F81"/>
    <w:rsid w:val="00DE44BA"/>
    <w:rsid w:val="00DE4513"/>
    <w:rsid w:val="00DE4B2E"/>
    <w:rsid w:val="00DE4CC3"/>
    <w:rsid w:val="00DE65FB"/>
    <w:rsid w:val="00DE6AC8"/>
    <w:rsid w:val="00DF1EC7"/>
    <w:rsid w:val="00DF28DC"/>
    <w:rsid w:val="00DF6831"/>
    <w:rsid w:val="00DF728E"/>
    <w:rsid w:val="00E0063A"/>
    <w:rsid w:val="00E02DD8"/>
    <w:rsid w:val="00E041A7"/>
    <w:rsid w:val="00E051A9"/>
    <w:rsid w:val="00E06A9C"/>
    <w:rsid w:val="00E06CB8"/>
    <w:rsid w:val="00E076A7"/>
    <w:rsid w:val="00E12B44"/>
    <w:rsid w:val="00E154F6"/>
    <w:rsid w:val="00E20C6A"/>
    <w:rsid w:val="00E23939"/>
    <w:rsid w:val="00E2429D"/>
    <w:rsid w:val="00E2579B"/>
    <w:rsid w:val="00E25B82"/>
    <w:rsid w:val="00E277ED"/>
    <w:rsid w:val="00E27BF6"/>
    <w:rsid w:val="00E3073B"/>
    <w:rsid w:val="00E30854"/>
    <w:rsid w:val="00E34AC0"/>
    <w:rsid w:val="00E34EB8"/>
    <w:rsid w:val="00E35D67"/>
    <w:rsid w:val="00E35F51"/>
    <w:rsid w:val="00E36EB4"/>
    <w:rsid w:val="00E407D1"/>
    <w:rsid w:val="00E40E51"/>
    <w:rsid w:val="00E40FCE"/>
    <w:rsid w:val="00E46289"/>
    <w:rsid w:val="00E4742B"/>
    <w:rsid w:val="00E5199F"/>
    <w:rsid w:val="00E52465"/>
    <w:rsid w:val="00E550EF"/>
    <w:rsid w:val="00E55CA7"/>
    <w:rsid w:val="00E6026E"/>
    <w:rsid w:val="00E6161C"/>
    <w:rsid w:val="00E635C5"/>
    <w:rsid w:val="00E70FCB"/>
    <w:rsid w:val="00E71276"/>
    <w:rsid w:val="00E73EFE"/>
    <w:rsid w:val="00E74856"/>
    <w:rsid w:val="00E748C8"/>
    <w:rsid w:val="00E752EC"/>
    <w:rsid w:val="00E76B58"/>
    <w:rsid w:val="00E76CE3"/>
    <w:rsid w:val="00E76F3C"/>
    <w:rsid w:val="00E858B8"/>
    <w:rsid w:val="00E863A4"/>
    <w:rsid w:val="00E879B2"/>
    <w:rsid w:val="00E92DC2"/>
    <w:rsid w:val="00E934E0"/>
    <w:rsid w:val="00E94EA6"/>
    <w:rsid w:val="00EA5A11"/>
    <w:rsid w:val="00EB2763"/>
    <w:rsid w:val="00EB50A0"/>
    <w:rsid w:val="00EB6912"/>
    <w:rsid w:val="00EC1DE1"/>
    <w:rsid w:val="00EC2A86"/>
    <w:rsid w:val="00EC2BF9"/>
    <w:rsid w:val="00EC6840"/>
    <w:rsid w:val="00ED269F"/>
    <w:rsid w:val="00ED30EF"/>
    <w:rsid w:val="00ED3A40"/>
    <w:rsid w:val="00ED4A97"/>
    <w:rsid w:val="00ED5441"/>
    <w:rsid w:val="00ED5E2C"/>
    <w:rsid w:val="00ED7029"/>
    <w:rsid w:val="00EE70AD"/>
    <w:rsid w:val="00EF0451"/>
    <w:rsid w:val="00EF5539"/>
    <w:rsid w:val="00F008AE"/>
    <w:rsid w:val="00F013E8"/>
    <w:rsid w:val="00F04399"/>
    <w:rsid w:val="00F05FC6"/>
    <w:rsid w:val="00F06980"/>
    <w:rsid w:val="00F06A25"/>
    <w:rsid w:val="00F07C4B"/>
    <w:rsid w:val="00F10C50"/>
    <w:rsid w:val="00F134EB"/>
    <w:rsid w:val="00F13973"/>
    <w:rsid w:val="00F16978"/>
    <w:rsid w:val="00F16B56"/>
    <w:rsid w:val="00F1730D"/>
    <w:rsid w:val="00F21A6E"/>
    <w:rsid w:val="00F21AC0"/>
    <w:rsid w:val="00F21DCF"/>
    <w:rsid w:val="00F21E4F"/>
    <w:rsid w:val="00F22ED7"/>
    <w:rsid w:val="00F23256"/>
    <w:rsid w:val="00F241C7"/>
    <w:rsid w:val="00F24E98"/>
    <w:rsid w:val="00F34A65"/>
    <w:rsid w:val="00F35F6A"/>
    <w:rsid w:val="00F36437"/>
    <w:rsid w:val="00F36C6A"/>
    <w:rsid w:val="00F4194F"/>
    <w:rsid w:val="00F4244A"/>
    <w:rsid w:val="00F42681"/>
    <w:rsid w:val="00F42D8E"/>
    <w:rsid w:val="00F44716"/>
    <w:rsid w:val="00F46164"/>
    <w:rsid w:val="00F466D0"/>
    <w:rsid w:val="00F46F6A"/>
    <w:rsid w:val="00F471A1"/>
    <w:rsid w:val="00F47D3A"/>
    <w:rsid w:val="00F50A69"/>
    <w:rsid w:val="00F50AE1"/>
    <w:rsid w:val="00F517A2"/>
    <w:rsid w:val="00F51B07"/>
    <w:rsid w:val="00F6179B"/>
    <w:rsid w:val="00F61B7C"/>
    <w:rsid w:val="00F62CB7"/>
    <w:rsid w:val="00F65B73"/>
    <w:rsid w:val="00F664C5"/>
    <w:rsid w:val="00F667F4"/>
    <w:rsid w:val="00F66FC5"/>
    <w:rsid w:val="00F702E9"/>
    <w:rsid w:val="00F74E1A"/>
    <w:rsid w:val="00F76298"/>
    <w:rsid w:val="00F77CDF"/>
    <w:rsid w:val="00F86F3F"/>
    <w:rsid w:val="00F873D8"/>
    <w:rsid w:val="00F90E5C"/>
    <w:rsid w:val="00F910B7"/>
    <w:rsid w:val="00F95885"/>
    <w:rsid w:val="00F968D3"/>
    <w:rsid w:val="00F973E6"/>
    <w:rsid w:val="00FA09B7"/>
    <w:rsid w:val="00FA3409"/>
    <w:rsid w:val="00FA3469"/>
    <w:rsid w:val="00FA3BD9"/>
    <w:rsid w:val="00FA5767"/>
    <w:rsid w:val="00FA6F36"/>
    <w:rsid w:val="00FA72CE"/>
    <w:rsid w:val="00FB0975"/>
    <w:rsid w:val="00FB13A1"/>
    <w:rsid w:val="00FB59C0"/>
    <w:rsid w:val="00FB5BDA"/>
    <w:rsid w:val="00FB6771"/>
    <w:rsid w:val="00FC2349"/>
    <w:rsid w:val="00FC3005"/>
    <w:rsid w:val="00FC3614"/>
    <w:rsid w:val="00FC5034"/>
    <w:rsid w:val="00FC61D5"/>
    <w:rsid w:val="00FC655B"/>
    <w:rsid w:val="00FC68E0"/>
    <w:rsid w:val="00FD07DF"/>
    <w:rsid w:val="00FD1392"/>
    <w:rsid w:val="00FD4375"/>
    <w:rsid w:val="00FD4530"/>
    <w:rsid w:val="00FD7100"/>
    <w:rsid w:val="00FE0D7F"/>
    <w:rsid w:val="00FE1183"/>
    <w:rsid w:val="00FE1D2F"/>
    <w:rsid w:val="00FF01EB"/>
    <w:rsid w:val="00FF1A2C"/>
    <w:rsid w:val="00FF3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AA9A"/>
  <w15:docId w15:val="{8D0158CA-11B2-4EF1-BF71-AA3A288B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4FA"/>
    <w:pPr>
      <w:bidi/>
    </w:pPr>
    <w:rPr>
      <w:rFonts w:ascii="Arial" w:eastAsia="MS Mincho"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112"/>
    <w:rPr>
      <w:rFonts w:ascii="Tahoma" w:eastAsia="Calibri" w:hAnsi="Tahoma" w:cs="Times New Roman"/>
      <w:sz w:val="16"/>
      <w:szCs w:val="16"/>
      <w:lang w:val="x-none" w:eastAsia="x-none"/>
    </w:rPr>
  </w:style>
  <w:style w:type="character" w:customStyle="1" w:styleId="BalloonTextChar">
    <w:name w:val="Balloon Text Char"/>
    <w:link w:val="BalloonText"/>
    <w:uiPriority w:val="99"/>
    <w:semiHidden/>
    <w:rsid w:val="00957112"/>
    <w:rPr>
      <w:rFonts w:ascii="Tahoma" w:hAnsi="Tahoma" w:cs="Tahoma"/>
      <w:sz w:val="16"/>
      <w:szCs w:val="16"/>
    </w:rPr>
  </w:style>
  <w:style w:type="character" w:styleId="Hyperlink">
    <w:name w:val="Hyperlink"/>
    <w:rsid w:val="00957112"/>
    <w:rPr>
      <w:color w:val="0000FF"/>
      <w:u w:val="single"/>
    </w:rPr>
  </w:style>
  <w:style w:type="paragraph" w:styleId="Header">
    <w:name w:val="header"/>
    <w:basedOn w:val="Normal"/>
    <w:link w:val="HeaderChar"/>
    <w:uiPriority w:val="99"/>
    <w:unhideWhenUsed/>
    <w:locked/>
    <w:rsid w:val="00582DE7"/>
    <w:pPr>
      <w:tabs>
        <w:tab w:val="center" w:pos="4153"/>
        <w:tab w:val="right" w:pos="8306"/>
      </w:tabs>
    </w:pPr>
    <w:rPr>
      <w:rFonts w:cs="Times New Roman"/>
      <w:lang w:val="x-none"/>
    </w:rPr>
  </w:style>
  <w:style w:type="character" w:customStyle="1" w:styleId="HeaderChar">
    <w:name w:val="Header Char"/>
    <w:link w:val="Header"/>
    <w:uiPriority w:val="99"/>
    <w:rsid w:val="00582DE7"/>
    <w:rPr>
      <w:rFonts w:ascii="Arial" w:eastAsia="MS Mincho" w:hAnsi="Arial"/>
      <w:lang w:eastAsia="ja-JP"/>
    </w:rPr>
  </w:style>
  <w:style w:type="paragraph" w:styleId="Footer">
    <w:name w:val="footer"/>
    <w:basedOn w:val="Normal"/>
    <w:link w:val="FooterChar"/>
    <w:uiPriority w:val="99"/>
    <w:unhideWhenUsed/>
    <w:locked/>
    <w:rsid w:val="00582DE7"/>
    <w:pPr>
      <w:tabs>
        <w:tab w:val="center" w:pos="4153"/>
        <w:tab w:val="right" w:pos="8306"/>
      </w:tabs>
    </w:pPr>
    <w:rPr>
      <w:rFonts w:cs="Times New Roman"/>
      <w:lang w:val="x-none"/>
    </w:rPr>
  </w:style>
  <w:style w:type="character" w:customStyle="1" w:styleId="FooterChar">
    <w:name w:val="Footer Char"/>
    <w:link w:val="Footer"/>
    <w:uiPriority w:val="99"/>
    <w:rsid w:val="00582DE7"/>
    <w:rPr>
      <w:rFonts w:ascii="Arial" w:eastAsia="MS Mincho" w:hAnsi="Arial"/>
      <w:lang w:eastAsia="ja-JP"/>
    </w:rPr>
  </w:style>
  <w:style w:type="character" w:styleId="CommentReference">
    <w:name w:val="annotation reference"/>
    <w:uiPriority w:val="99"/>
    <w:semiHidden/>
    <w:unhideWhenUsed/>
    <w:rsid w:val="007E7F82"/>
    <w:rPr>
      <w:sz w:val="16"/>
      <w:szCs w:val="16"/>
    </w:rPr>
  </w:style>
  <w:style w:type="paragraph" w:styleId="CommentText">
    <w:name w:val="annotation text"/>
    <w:basedOn w:val="Normal"/>
    <w:link w:val="CommentTextChar"/>
    <w:uiPriority w:val="99"/>
    <w:semiHidden/>
    <w:unhideWhenUsed/>
    <w:rsid w:val="007E7F82"/>
    <w:rPr>
      <w:rFonts w:cs="Times New Roman"/>
      <w:lang w:val="x-none"/>
    </w:rPr>
  </w:style>
  <w:style w:type="character" w:customStyle="1" w:styleId="CommentTextChar">
    <w:name w:val="Comment Text Char"/>
    <w:link w:val="CommentText"/>
    <w:uiPriority w:val="99"/>
    <w:semiHidden/>
    <w:rsid w:val="007E7F82"/>
    <w:rPr>
      <w:rFonts w:ascii="Arial" w:eastAsia="MS Mincho" w:hAnsi="Arial"/>
      <w:lang w:eastAsia="ja-JP"/>
    </w:rPr>
  </w:style>
  <w:style w:type="paragraph" w:styleId="CommentSubject">
    <w:name w:val="annotation subject"/>
    <w:basedOn w:val="CommentText"/>
    <w:next w:val="CommentText"/>
    <w:link w:val="CommentSubjectChar"/>
    <w:uiPriority w:val="99"/>
    <w:semiHidden/>
    <w:unhideWhenUsed/>
    <w:rsid w:val="007E7F82"/>
    <w:rPr>
      <w:b/>
      <w:bCs/>
    </w:rPr>
  </w:style>
  <w:style w:type="character" w:customStyle="1" w:styleId="CommentSubjectChar">
    <w:name w:val="Comment Subject Char"/>
    <w:link w:val="CommentSubject"/>
    <w:uiPriority w:val="99"/>
    <w:semiHidden/>
    <w:rsid w:val="007E7F82"/>
    <w:rPr>
      <w:rFonts w:ascii="Arial" w:eastAsia="MS Mincho" w:hAnsi="Arial"/>
      <w:b/>
      <w:bCs/>
      <w:lang w:eastAsia="ja-JP"/>
    </w:rPr>
  </w:style>
  <w:style w:type="paragraph" w:styleId="ListParagraph">
    <w:name w:val="List Paragraph"/>
    <w:basedOn w:val="Normal"/>
    <w:uiPriority w:val="34"/>
    <w:qFormat/>
    <w:rsid w:val="007A7C1B"/>
    <w:pPr>
      <w:ind w:left="720"/>
    </w:pPr>
    <w:rPr>
      <w:rFonts w:ascii="Times New Roman" w:eastAsia="Times New Roman" w:hAnsi="Times New Roman" w:cs="David"/>
      <w:sz w:val="28"/>
      <w:szCs w:val="28"/>
      <w:lang w:eastAsia="he-IL"/>
    </w:rPr>
  </w:style>
  <w:style w:type="character" w:customStyle="1" w:styleId="apple-converted-space">
    <w:name w:val="apple-converted-space"/>
    <w:basedOn w:val="DefaultParagraphFont"/>
    <w:rsid w:val="002A5B32"/>
  </w:style>
  <w:style w:type="paragraph" w:customStyle="1" w:styleId="s20">
    <w:name w:val="s20"/>
    <w:basedOn w:val="Normal"/>
    <w:rsid w:val="002B7B0F"/>
    <w:pPr>
      <w:bidi w:val="0"/>
      <w:spacing w:before="100" w:beforeAutospacing="1" w:after="100" w:afterAutospacing="1"/>
    </w:pPr>
    <w:rPr>
      <w:rFonts w:ascii="Times New Roman" w:eastAsiaTheme="minorHAnsi" w:hAnsi="Times New Roman" w:cs="Times New Roman"/>
      <w:sz w:val="24"/>
      <w:szCs w:val="24"/>
      <w:lang w:eastAsia="en-US"/>
    </w:rPr>
  </w:style>
  <w:style w:type="character" w:customStyle="1" w:styleId="bumpedfont15">
    <w:name w:val="bumpedfont15"/>
    <w:basedOn w:val="DefaultParagraphFont"/>
    <w:rsid w:val="002B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5905">
      <w:bodyDiv w:val="1"/>
      <w:marLeft w:val="0"/>
      <w:marRight w:val="0"/>
      <w:marTop w:val="0"/>
      <w:marBottom w:val="0"/>
      <w:divBdr>
        <w:top w:val="none" w:sz="0" w:space="0" w:color="auto"/>
        <w:left w:val="none" w:sz="0" w:space="0" w:color="auto"/>
        <w:bottom w:val="none" w:sz="0" w:space="0" w:color="auto"/>
        <w:right w:val="none" w:sz="0" w:space="0" w:color="auto"/>
      </w:divBdr>
    </w:div>
    <w:div w:id="789468581">
      <w:bodyDiv w:val="1"/>
      <w:marLeft w:val="0"/>
      <w:marRight w:val="0"/>
      <w:marTop w:val="0"/>
      <w:marBottom w:val="0"/>
      <w:divBdr>
        <w:top w:val="none" w:sz="0" w:space="0" w:color="auto"/>
        <w:left w:val="none" w:sz="0" w:space="0" w:color="auto"/>
        <w:bottom w:val="none" w:sz="0" w:space="0" w:color="auto"/>
        <w:right w:val="none" w:sz="0" w:space="0" w:color="auto"/>
      </w:divBdr>
    </w:div>
    <w:div w:id="915551044">
      <w:bodyDiv w:val="1"/>
      <w:marLeft w:val="0"/>
      <w:marRight w:val="0"/>
      <w:marTop w:val="0"/>
      <w:marBottom w:val="0"/>
      <w:divBdr>
        <w:top w:val="none" w:sz="0" w:space="0" w:color="auto"/>
        <w:left w:val="none" w:sz="0" w:space="0" w:color="auto"/>
        <w:bottom w:val="none" w:sz="0" w:space="0" w:color="auto"/>
        <w:right w:val="none" w:sz="0" w:space="0" w:color="auto"/>
      </w:divBdr>
    </w:div>
    <w:div w:id="921448739">
      <w:bodyDiv w:val="1"/>
      <w:marLeft w:val="0"/>
      <w:marRight w:val="0"/>
      <w:marTop w:val="0"/>
      <w:marBottom w:val="0"/>
      <w:divBdr>
        <w:top w:val="none" w:sz="0" w:space="0" w:color="auto"/>
        <w:left w:val="none" w:sz="0" w:space="0" w:color="auto"/>
        <w:bottom w:val="none" w:sz="0" w:space="0" w:color="auto"/>
        <w:right w:val="none" w:sz="0" w:space="0" w:color="auto"/>
      </w:divBdr>
    </w:div>
    <w:div w:id="1212963831">
      <w:bodyDiv w:val="1"/>
      <w:marLeft w:val="0"/>
      <w:marRight w:val="0"/>
      <w:marTop w:val="0"/>
      <w:marBottom w:val="0"/>
      <w:divBdr>
        <w:top w:val="none" w:sz="0" w:space="0" w:color="auto"/>
        <w:left w:val="none" w:sz="0" w:space="0" w:color="auto"/>
        <w:bottom w:val="none" w:sz="0" w:space="0" w:color="auto"/>
        <w:right w:val="none" w:sz="0" w:space="0" w:color="auto"/>
      </w:divBdr>
    </w:div>
    <w:div w:id="1331904608">
      <w:bodyDiv w:val="1"/>
      <w:marLeft w:val="0"/>
      <w:marRight w:val="0"/>
      <w:marTop w:val="0"/>
      <w:marBottom w:val="0"/>
      <w:divBdr>
        <w:top w:val="none" w:sz="0" w:space="0" w:color="auto"/>
        <w:left w:val="none" w:sz="0" w:space="0" w:color="auto"/>
        <w:bottom w:val="none" w:sz="0" w:space="0" w:color="auto"/>
        <w:right w:val="none" w:sz="0" w:space="0" w:color="auto"/>
      </w:divBdr>
    </w:div>
    <w:div w:id="1387994052">
      <w:bodyDiv w:val="1"/>
      <w:marLeft w:val="0"/>
      <w:marRight w:val="0"/>
      <w:marTop w:val="0"/>
      <w:marBottom w:val="0"/>
      <w:divBdr>
        <w:top w:val="none" w:sz="0" w:space="0" w:color="auto"/>
        <w:left w:val="none" w:sz="0" w:space="0" w:color="auto"/>
        <w:bottom w:val="none" w:sz="0" w:space="0" w:color="auto"/>
        <w:right w:val="none" w:sz="0" w:space="0" w:color="auto"/>
      </w:divBdr>
    </w:div>
    <w:div w:id="1749618402">
      <w:bodyDiv w:val="1"/>
      <w:marLeft w:val="0"/>
      <w:marRight w:val="0"/>
      <w:marTop w:val="0"/>
      <w:marBottom w:val="0"/>
      <w:divBdr>
        <w:top w:val="none" w:sz="0" w:space="0" w:color="auto"/>
        <w:left w:val="none" w:sz="0" w:space="0" w:color="auto"/>
        <w:bottom w:val="none" w:sz="0" w:space="0" w:color="auto"/>
        <w:right w:val="none" w:sz="0" w:space="0" w:color="auto"/>
      </w:divBdr>
    </w:div>
    <w:div w:id="1820031776">
      <w:bodyDiv w:val="1"/>
      <w:marLeft w:val="0"/>
      <w:marRight w:val="0"/>
      <w:marTop w:val="0"/>
      <w:marBottom w:val="0"/>
      <w:divBdr>
        <w:top w:val="none" w:sz="0" w:space="0" w:color="auto"/>
        <w:left w:val="none" w:sz="0" w:space="0" w:color="auto"/>
        <w:bottom w:val="none" w:sz="0" w:space="0" w:color="auto"/>
        <w:right w:val="none" w:sz="0" w:space="0" w:color="auto"/>
      </w:divBdr>
    </w:div>
    <w:div w:id="1862476893">
      <w:bodyDiv w:val="1"/>
      <w:marLeft w:val="0"/>
      <w:marRight w:val="0"/>
      <w:marTop w:val="0"/>
      <w:marBottom w:val="0"/>
      <w:divBdr>
        <w:top w:val="none" w:sz="0" w:space="0" w:color="auto"/>
        <w:left w:val="none" w:sz="0" w:space="0" w:color="auto"/>
        <w:bottom w:val="none" w:sz="0" w:space="0" w:color="auto"/>
        <w:right w:val="none" w:sz="0" w:space="0" w:color="auto"/>
      </w:divBdr>
    </w:div>
    <w:div w:id="19338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DDB3-E06C-4DB7-81B2-25CD1A6B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1068</Words>
  <Characters>6088</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7142</CharactersWithSpaces>
  <SharedDoc>false</SharedDoc>
  <HLinks>
    <vt:vector size="6" baseType="variant">
      <vt:variant>
        <vt:i4>1966121</vt:i4>
      </vt:variant>
      <vt:variant>
        <vt:i4>0</vt:i4>
      </vt:variant>
      <vt:variant>
        <vt:i4>0</vt:i4>
      </vt:variant>
      <vt:variant>
        <vt:i4>5</vt:i4>
      </vt:variant>
      <vt:variant>
        <vt:lpwstr>mailto:info@pr-ir.co.il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Eisenberg</dc:creator>
  <cp:lastModifiedBy>Windows User</cp:lastModifiedBy>
  <cp:revision>12</cp:revision>
  <cp:lastPrinted>2016-05-17T11:55:00Z</cp:lastPrinted>
  <dcterms:created xsi:type="dcterms:W3CDTF">2019-03-13T12:45:00Z</dcterms:created>
  <dcterms:modified xsi:type="dcterms:W3CDTF">2019-03-14T12:20:00Z</dcterms:modified>
</cp:coreProperties>
</file>