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C8" w:rsidRPr="00170082" w:rsidRDefault="00A835C8" w:rsidP="00A835C8">
      <w:pPr>
        <w:rPr>
          <w:rFonts w:cs="Narkisim"/>
          <w:sz w:val="24"/>
          <w:szCs w:val="24"/>
        </w:rPr>
      </w:pPr>
      <w:r w:rsidRPr="00170082">
        <w:rPr>
          <w:rFonts w:cs="Narkisim"/>
          <w:sz w:val="24"/>
          <w:szCs w:val="24"/>
        </w:rPr>
        <w:t>March 16, 2020</w:t>
      </w:r>
    </w:p>
    <w:p w:rsidR="00A835C8" w:rsidRPr="00170082" w:rsidRDefault="00A835C8" w:rsidP="00A835C8">
      <w:pPr>
        <w:jc w:val="center"/>
        <w:rPr>
          <w:rFonts w:cs="Narkisim"/>
          <w:b/>
          <w:bCs/>
          <w:sz w:val="24"/>
          <w:szCs w:val="24"/>
          <w:u w:val="single"/>
        </w:rPr>
      </w:pPr>
      <w:bookmarkStart w:id="0" w:name="_GoBack"/>
      <w:bookmarkEnd w:id="0"/>
    </w:p>
    <w:p w:rsidR="00A835C8" w:rsidRPr="00170082" w:rsidRDefault="00A835C8" w:rsidP="00A835C8">
      <w:pPr>
        <w:jc w:val="center"/>
        <w:rPr>
          <w:rFonts w:cs="Narkisim"/>
          <w:b/>
          <w:bCs/>
          <w:sz w:val="32"/>
          <w:szCs w:val="32"/>
          <w:u w:val="single"/>
        </w:rPr>
      </w:pPr>
      <w:r w:rsidRPr="00170082">
        <w:rPr>
          <w:rFonts w:cs="Narkisim"/>
          <w:b/>
          <w:bCs/>
          <w:sz w:val="32"/>
          <w:szCs w:val="32"/>
          <w:u w:val="single"/>
        </w:rPr>
        <w:t>One Technologies Closes 2019 with Growth in all Business Metrics</w:t>
      </w:r>
    </w:p>
    <w:p w:rsidR="00A835C8" w:rsidRPr="00170082" w:rsidRDefault="00A835C8" w:rsidP="00A835C8">
      <w:pPr>
        <w:jc w:val="center"/>
        <w:rPr>
          <w:rFonts w:cs="Narkisim"/>
          <w:b/>
          <w:bCs/>
          <w:sz w:val="24"/>
          <w:szCs w:val="24"/>
          <w:u w:val="single"/>
        </w:rPr>
      </w:pPr>
    </w:p>
    <w:p w:rsidR="00A835C8" w:rsidRPr="00170082" w:rsidRDefault="00A835C8" w:rsidP="00A835C8">
      <w:pPr>
        <w:jc w:val="center"/>
        <w:rPr>
          <w:rFonts w:cs="Narkisim"/>
          <w:b/>
          <w:bCs/>
          <w:sz w:val="32"/>
          <w:szCs w:val="32"/>
          <w:u w:val="single"/>
        </w:rPr>
      </w:pPr>
      <w:r w:rsidRPr="00170082">
        <w:rPr>
          <w:rFonts w:cs="Narkisim"/>
          <w:b/>
          <w:bCs/>
          <w:sz w:val="32"/>
          <w:szCs w:val="32"/>
          <w:u w:val="single"/>
        </w:rPr>
        <w:t>One Technologies closed 2019 with a 12.3% increase in revenue to NIS 1.60 billion; a 33% increase in operating income to NIS 125.1 million; and a 26% increase in net income to NIS 87 million.</w:t>
      </w:r>
    </w:p>
    <w:p w:rsidR="00A835C8" w:rsidRPr="00170082" w:rsidRDefault="00A835C8" w:rsidP="00A835C8">
      <w:pPr>
        <w:jc w:val="center"/>
        <w:rPr>
          <w:rFonts w:cs="Narkisim"/>
          <w:b/>
          <w:bCs/>
          <w:sz w:val="32"/>
          <w:szCs w:val="32"/>
          <w:u w:val="single"/>
        </w:rPr>
      </w:pPr>
      <w:r w:rsidRPr="00170082">
        <w:rPr>
          <w:rFonts w:cs="Narkisim"/>
          <w:b/>
          <w:bCs/>
          <w:sz w:val="32"/>
          <w:szCs w:val="32"/>
          <w:u w:val="single"/>
        </w:rPr>
        <w:t>The fourth quarter of 2019 closed with a 3.9% increase in revenue to NIS 415.7 million, an 11.8% increase in net income to NIS 23.2 million, and a 13.3% increase in operating income to NIS 33.4 million.</w:t>
      </w:r>
    </w:p>
    <w:p w:rsidR="00A835C8" w:rsidRPr="00170082" w:rsidRDefault="00A835C8" w:rsidP="00A835C8">
      <w:pPr>
        <w:jc w:val="both"/>
        <w:rPr>
          <w:rFonts w:cs="Narkisim"/>
          <w:sz w:val="24"/>
          <w:szCs w:val="24"/>
        </w:rPr>
      </w:pPr>
    </w:p>
    <w:p w:rsidR="00A835C8" w:rsidRPr="00170082" w:rsidRDefault="00A835C8" w:rsidP="00A835C8">
      <w:pPr>
        <w:jc w:val="both"/>
        <w:rPr>
          <w:rFonts w:cs="Narkisim"/>
          <w:b/>
          <w:bCs/>
          <w:sz w:val="24"/>
          <w:szCs w:val="24"/>
          <w:u w:val="single"/>
        </w:rPr>
      </w:pPr>
      <w:r w:rsidRPr="00170082">
        <w:rPr>
          <w:rFonts w:cs="Narkisim"/>
          <w:b/>
          <w:bCs/>
          <w:sz w:val="24"/>
          <w:szCs w:val="24"/>
          <w:u w:val="single"/>
        </w:rPr>
        <w:t>Adi Eyal, Chief Executive Officer of the One Technologies Group: "We closed 2019 with double-digit growth in most business metrics (revenue turnover, operating income, and net income), with most revenue growth from our software segment. The increase in business operations comes from organic growth, mainly from cloud computing solutions, as well as the successful implementation of a series of acquisitions made during the past year. We have also recently announced a significant round of managerial appointments which will refresh our core management team and will contribute to further adoption of strategic moves across the Group".</w:t>
      </w:r>
    </w:p>
    <w:p w:rsidR="00A835C8" w:rsidRPr="00170082" w:rsidRDefault="00A835C8" w:rsidP="00A835C8">
      <w:pPr>
        <w:jc w:val="both"/>
        <w:rPr>
          <w:rFonts w:cs="Narkisim"/>
          <w:sz w:val="24"/>
          <w:szCs w:val="24"/>
        </w:rPr>
      </w:pPr>
    </w:p>
    <w:p w:rsidR="00A835C8" w:rsidRPr="00170082" w:rsidRDefault="00A835C8" w:rsidP="00A835C8">
      <w:pPr>
        <w:jc w:val="both"/>
        <w:rPr>
          <w:rFonts w:cs="Narkisim"/>
          <w:sz w:val="24"/>
          <w:szCs w:val="24"/>
        </w:rPr>
      </w:pPr>
      <w:r w:rsidRPr="00170082">
        <w:rPr>
          <w:rFonts w:cs="Narkisim"/>
          <w:b/>
          <w:bCs/>
          <w:sz w:val="24"/>
          <w:szCs w:val="24"/>
        </w:rPr>
        <w:t>One Technologies</w:t>
      </w:r>
      <w:r w:rsidRPr="00170082">
        <w:rPr>
          <w:rFonts w:cs="Narkisim"/>
          <w:sz w:val="24"/>
          <w:szCs w:val="24"/>
        </w:rPr>
        <w:t xml:space="preserve">, one of Israel's leading IT companies, released its fourth quarter and full 2019 financial results, and reported further improvement in operating parameters - thanks to organic growth and the successful implementation of recent acquisitions, along with improved profitability and income.  </w:t>
      </w:r>
    </w:p>
    <w:p w:rsidR="00A835C8" w:rsidRPr="00170082" w:rsidRDefault="00A835C8" w:rsidP="00A835C8">
      <w:pPr>
        <w:jc w:val="both"/>
        <w:rPr>
          <w:rFonts w:cs="Narkisim"/>
          <w:sz w:val="24"/>
          <w:szCs w:val="24"/>
          <w:u w:val="single"/>
        </w:rPr>
      </w:pPr>
    </w:p>
    <w:p w:rsidR="00A835C8" w:rsidRPr="00170082" w:rsidRDefault="00A835C8" w:rsidP="00A835C8">
      <w:pPr>
        <w:jc w:val="both"/>
        <w:rPr>
          <w:rFonts w:cs="Narkisim"/>
          <w:b/>
          <w:bCs/>
          <w:sz w:val="24"/>
          <w:szCs w:val="24"/>
          <w:u w:val="single"/>
        </w:rPr>
      </w:pPr>
      <w:r w:rsidRPr="00170082">
        <w:rPr>
          <w:rFonts w:cs="Narkisim"/>
          <w:b/>
          <w:bCs/>
          <w:sz w:val="24"/>
          <w:szCs w:val="24"/>
          <w:u w:val="single"/>
        </w:rPr>
        <w:t>Highlights of 2019's Results:</w:t>
      </w:r>
    </w:p>
    <w:p w:rsidR="00A835C8" w:rsidRPr="00170082" w:rsidRDefault="00A835C8" w:rsidP="00A835C8">
      <w:pPr>
        <w:jc w:val="both"/>
        <w:rPr>
          <w:rFonts w:cs="Narkisim"/>
          <w:sz w:val="24"/>
          <w:szCs w:val="24"/>
        </w:rPr>
      </w:pPr>
      <w:r w:rsidRPr="00170082">
        <w:rPr>
          <w:rFonts w:cs="Narkisim"/>
          <w:sz w:val="24"/>
          <w:szCs w:val="24"/>
        </w:rPr>
        <w:t xml:space="preserve">Revenue during 2019 grew by 12.3% to NIS 1.60 billion, compared with NIS 1.43 billion during the corresponding period last year.  Growth in revenue follows organic growth in the Company's operations, primarily cloud computing operations and partially the consolidation of companies that were consolidated for the first time during the report period, primarily in the field of SAP's ERP applications and BI operations. </w:t>
      </w:r>
    </w:p>
    <w:p w:rsidR="00A835C8" w:rsidRPr="00170082" w:rsidRDefault="00A835C8" w:rsidP="00A835C8">
      <w:pPr>
        <w:jc w:val="both"/>
        <w:rPr>
          <w:rFonts w:cs="Narkisim"/>
          <w:sz w:val="24"/>
          <w:szCs w:val="24"/>
          <w:u w:val="single"/>
        </w:rPr>
      </w:pPr>
      <w:r w:rsidRPr="00170082">
        <w:rPr>
          <w:rFonts w:cs="Narkisim"/>
          <w:sz w:val="24"/>
          <w:szCs w:val="24"/>
          <w:u w:val="single"/>
        </w:rPr>
        <w:t xml:space="preserve">Following is a Breakdown of Revenue by Segment: </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lastRenderedPageBreak/>
        <w:t xml:space="preserve">Software segment revenue </w:t>
      </w:r>
      <w:r w:rsidRPr="00170082">
        <w:rPr>
          <w:rFonts w:cs="Narkisim"/>
          <w:sz w:val="24"/>
          <w:szCs w:val="24"/>
        </w:rPr>
        <w:t>during the period totaled NIS 790.3 million, compared with NIS 626.8 million during the corresponding period last year.</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t xml:space="preserve">Infrastructure segment revenue </w:t>
      </w:r>
      <w:r w:rsidRPr="00170082">
        <w:rPr>
          <w:rFonts w:cs="Narkisim"/>
          <w:sz w:val="24"/>
          <w:szCs w:val="24"/>
        </w:rPr>
        <w:t>during the period totaled NIS 693.2 million, compared with NIS 692.7 million during the corresponding period last year.</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t xml:space="preserve">Managed services segment revenue </w:t>
      </w:r>
      <w:r w:rsidRPr="00170082">
        <w:rPr>
          <w:rFonts w:cs="Narkisim"/>
          <w:sz w:val="24"/>
          <w:szCs w:val="24"/>
        </w:rPr>
        <w:t>during the period grew by 10.5% to NIS 141.4 million, compared with NIS 128 million during the corresponding period last year.</w:t>
      </w:r>
    </w:p>
    <w:p w:rsidR="00A835C8" w:rsidRPr="00170082" w:rsidRDefault="00A835C8" w:rsidP="00A835C8">
      <w:pPr>
        <w:jc w:val="both"/>
        <w:rPr>
          <w:rFonts w:cs="Narkisim"/>
          <w:sz w:val="24"/>
          <w:szCs w:val="24"/>
        </w:rPr>
      </w:pPr>
      <w:r w:rsidRPr="00170082">
        <w:rPr>
          <w:rFonts w:cs="Narkisim"/>
          <w:b/>
          <w:bCs/>
          <w:sz w:val="24"/>
          <w:szCs w:val="24"/>
        </w:rPr>
        <w:t>Gross profit</w:t>
      </w:r>
      <w:r w:rsidRPr="00170082">
        <w:rPr>
          <w:rFonts w:cs="Narkisim"/>
          <w:sz w:val="24"/>
          <w:szCs w:val="24"/>
        </w:rPr>
        <w:t xml:space="preserve"> during 2019 grew by 16% to NIS 280.3 million (17.5% of revenue), compared with NIS 241.7 million (16.9% of revenue) during the corresponding period last year. The increase is primarily attributed to an increase in operations.</w:t>
      </w:r>
    </w:p>
    <w:p w:rsidR="00A835C8" w:rsidRPr="00170082" w:rsidRDefault="00A835C8" w:rsidP="00A835C8">
      <w:pPr>
        <w:jc w:val="both"/>
        <w:rPr>
          <w:rFonts w:cs="Narkisim"/>
          <w:sz w:val="24"/>
          <w:szCs w:val="24"/>
        </w:rPr>
      </w:pPr>
      <w:r w:rsidRPr="00170082">
        <w:rPr>
          <w:rFonts w:cs="Narkisim"/>
          <w:b/>
          <w:bCs/>
          <w:sz w:val="24"/>
          <w:szCs w:val="24"/>
        </w:rPr>
        <w:t>Operating income</w:t>
      </w:r>
      <w:r w:rsidRPr="00170082">
        <w:rPr>
          <w:rFonts w:cs="Narkisim"/>
          <w:sz w:val="24"/>
          <w:szCs w:val="24"/>
        </w:rPr>
        <w:t xml:space="preserve"> during 2019 grew by 33% to NIS 125.1 million, compared with NIS 94.2 million during the corresponding period last year. The increase in operating income is primarily attributed to growth in the volume of software segment operations and an improvement in its operating income margin. </w:t>
      </w:r>
    </w:p>
    <w:p w:rsidR="00A835C8" w:rsidRPr="00170082" w:rsidRDefault="00A835C8" w:rsidP="00A835C8">
      <w:pPr>
        <w:jc w:val="both"/>
        <w:rPr>
          <w:rFonts w:cs="Narkisim"/>
          <w:sz w:val="24"/>
          <w:szCs w:val="24"/>
        </w:rPr>
      </w:pPr>
      <w:r w:rsidRPr="00170082">
        <w:rPr>
          <w:rFonts w:cs="Narkisim"/>
          <w:b/>
          <w:bCs/>
          <w:sz w:val="24"/>
          <w:szCs w:val="24"/>
        </w:rPr>
        <w:t>Operating profit margin</w:t>
      </w:r>
      <w:r w:rsidRPr="00170082">
        <w:rPr>
          <w:rFonts w:cs="Narkisim"/>
          <w:sz w:val="24"/>
          <w:szCs w:val="24"/>
        </w:rPr>
        <w:t xml:space="preserve"> (excluding other income) during 2019 was 7.3%, compared with 6.6% during the corresponding period last year. The improvement in the operating income margin is attributed to all operating segments. </w:t>
      </w:r>
    </w:p>
    <w:p w:rsidR="00A835C8" w:rsidRPr="00170082" w:rsidRDefault="00A835C8" w:rsidP="00A835C8">
      <w:pPr>
        <w:rPr>
          <w:rFonts w:cs="Narkisim"/>
          <w:sz w:val="24"/>
          <w:szCs w:val="24"/>
        </w:rPr>
      </w:pPr>
      <w:r w:rsidRPr="00170082">
        <w:rPr>
          <w:rFonts w:cs="Narkisim"/>
          <w:sz w:val="24"/>
          <w:szCs w:val="24"/>
          <w:u w:val="single"/>
        </w:rPr>
        <w:t>Following is a Breakdown of Operating Income:</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t>The operating income margin in the software segment</w:t>
      </w:r>
      <w:r w:rsidRPr="00170082">
        <w:rPr>
          <w:rFonts w:cs="Narkisim"/>
          <w:sz w:val="24"/>
          <w:szCs w:val="24"/>
        </w:rPr>
        <w:t xml:space="preserve"> during the period was 10.3%, compared with 9.9% during the corresponding period last year.</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t>The operating income margin in the infrastructure segment</w:t>
      </w:r>
      <w:r w:rsidRPr="00170082">
        <w:rPr>
          <w:rFonts w:cs="Narkisim"/>
          <w:sz w:val="24"/>
          <w:szCs w:val="24"/>
        </w:rPr>
        <w:t xml:space="preserve"> during the period was 5.8%, compared with 4.8% during the corresponding period last year.</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t>The operating income margin in the managed services segment</w:t>
      </w:r>
      <w:r w:rsidRPr="00170082">
        <w:rPr>
          <w:rFonts w:cs="Narkisim"/>
          <w:sz w:val="24"/>
          <w:szCs w:val="24"/>
        </w:rPr>
        <w:t xml:space="preserve"> during the period was 4.3%, compared with 4.5% during the corresponding period last year.</w:t>
      </w:r>
    </w:p>
    <w:p w:rsidR="00A835C8" w:rsidRPr="00170082" w:rsidRDefault="00A835C8" w:rsidP="00A835C8">
      <w:pPr>
        <w:jc w:val="both"/>
        <w:rPr>
          <w:rFonts w:cs="Narkisim"/>
          <w:sz w:val="24"/>
          <w:szCs w:val="24"/>
        </w:rPr>
      </w:pPr>
      <w:r w:rsidRPr="00170082">
        <w:rPr>
          <w:rFonts w:cs="Narkisim"/>
          <w:b/>
          <w:bCs/>
          <w:sz w:val="24"/>
          <w:szCs w:val="24"/>
        </w:rPr>
        <w:t>Net income</w:t>
      </w:r>
      <w:r w:rsidRPr="00170082">
        <w:rPr>
          <w:rFonts w:cs="Narkisim"/>
          <w:sz w:val="24"/>
          <w:szCs w:val="24"/>
        </w:rPr>
        <w:t xml:space="preserve"> in 2019 grew by 26% to NIS 87 million (of which NIS 82.4 million is attributable to shareholders), compared with NIS 69 million (of which NIS 65.7 million is attributable to shareholders) during the corresponding period last year. The growth in net income reflects double-digit revenue growth along with an increase in the Group's operating income.</w:t>
      </w:r>
    </w:p>
    <w:p w:rsidR="00A835C8" w:rsidRPr="00170082" w:rsidRDefault="00A835C8" w:rsidP="00A835C8">
      <w:pPr>
        <w:jc w:val="both"/>
        <w:rPr>
          <w:rFonts w:cs="Narkisim"/>
          <w:sz w:val="24"/>
          <w:szCs w:val="24"/>
        </w:rPr>
      </w:pPr>
      <w:r w:rsidRPr="00170082">
        <w:rPr>
          <w:rFonts w:cs="Narkisim"/>
          <w:sz w:val="24"/>
          <w:szCs w:val="24"/>
        </w:rPr>
        <w:t xml:space="preserve">In 2019, </w:t>
      </w:r>
      <w:r w:rsidRPr="00170082">
        <w:rPr>
          <w:rFonts w:cs="Narkisim"/>
          <w:b/>
          <w:bCs/>
          <w:sz w:val="24"/>
          <w:szCs w:val="24"/>
        </w:rPr>
        <w:t>EBITDA</w:t>
      </w:r>
      <w:r w:rsidRPr="00170082">
        <w:rPr>
          <w:rFonts w:cs="Narkisim"/>
          <w:sz w:val="24"/>
          <w:szCs w:val="24"/>
        </w:rPr>
        <w:t xml:space="preserve"> grew </w:t>
      </w:r>
      <w:proofErr w:type="gramStart"/>
      <w:r w:rsidRPr="00170082">
        <w:rPr>
          <w:rFonts w:cs="Narkisim"/>
          <w:sz w:val="24"/>
          <w:szCs w:val="24"/>
        </w:rPr>
        <w:t>by  51.4</w:t>
      </w:r>
      <w:proofErr w:type="gramEnd"/>
      <w:r w:rsidRPr="00170082">
        <w:rPr>
          <w:rFonts w:cs="Narkisim"/>
          <w:sz w:val="24"/>
          <w:szCs w:val="24"/>
        </w:rPr>
        <w:t>% to NIS 167.2 million, compared with NIS 110.5 million during the corresponding quarter last year. The increase in EBITDA reflects an increase in operating income as well as the first-time implementation of IFRS 16.</w:t>
      </w:r>
    </w:p>
    <w:p w:rsidR="00A835C8" w:rsidRPr="00170082" w:rsidRDefault="00A835C8" w:rsidP="00A835C8">
      <w:pPr>
        <w:jc w:val="both"/>
        <w:rPr>
          <w:rFonts w:cs="Narkisim"/>
          <w:b/>
          <w:bCs/>
          <w:sz w:val="24"/>
          <w:szCs w:val="24"/>
          <w:u w:val="single"/>
        </w:rPr>
      </w:pPr>
      <w:r w:rsidRPr="00170082">
        <w:rPr>
          <w:rFonts w:cs="Narkisim"/>
          <w:b/>
          <w:bCs/>
          <w:sz w:val="24"/>
          <w:szCs w:val="24"/>
          <w:u w:val="single"/>
        </w:rPr>
        <w:t xml:space="preserve">Highlights of 2019's Fourth Quarter: </w:t>
      </w:r>
    </w:p>
    <w:p w:rsidR="00A835C8" w:rsidRPr="00170082" w:rsidRDefault="00A835C8" w:rsidP="00A835C8">
      <w:pPr>
        <w:jc w:val="both"/>
        <w:rPr>
          <w:rFonts w:cs="Narkisim"/>
          <w:sz w:val="24"/>
          <w:szCs w:val="24"/>
        </w:rPr>
      </w:pPr>
      <w:r w:rsidRPr="00170082">
        <w:rPr>
          <w:rFonts w:cs="Narkisim"/>
          <w:b/>
          <w:bCs/>
          <w:sz w:val="24"/>
          <w:szCs w:val="24"/>
        </w:rPr>
        <w:t xml:space="preserve">Revenue </w:t>
      </w:r>
      <w:r w:rsidRPr="00170082">
        <w:rPr>
          <w:rFonts w:cs="Narkisim"/>
          <w:sz w:val="24"/>
          <w:szCs w:val="24"/>
        </w:rPr>
        <w:t xml:space="preserve">during the fourth quarter of 2019 grew by 3.9% to NIS 415.7 million, compared with NIS 400 million during the corresponding quarter last year. </w:t>
      </w:r>
    </w:p>
    <w:p w:rsidR="00A835C8" w:rsidRPr="00170082" w:rsidRDefault="00A835C8" w:rsidP="00A835C8">
      <w:pPr>
        <w:jc w:val="both"/>
        <w:rPr>
          <w:rFonts w:cs="Narkisim"/>
          <w:sz w:val="24"/>
          <w:szCs w:val="24"/>
          <w:u w:val="single"/>
        </w:rPr>
      </w:pPr>
      <w:r w:rsidRPr="00170082">
        <w:rPr>
          <w:rFonts w:cs="Narkisim"/>
          <w:sz w:val="24"/>
          <w:szCs w:val="24"/>
          <w:u w:val="single"/>
        </w:rPr>
        <w:t>The Breakdown of Revenue by Segment is as Follows:</w:t>
      </w:r>
    </w:p>
    <w:p w:rsidR="00A835C8" w:rsidRPr="00170082" w:rsidRDefault="00A835C8" w:rsidP="00A835C8">
      <w:pPr>
        <w:jc w:val="both"/>
        <w:rPr>
          <w:rFonts w:cs="Narkisim"/>
          <w:sz w:val="24"/>
          <w:szCs w:val="24"/>
        </w:rPr>
      </w:pPr>
      <w:r w:rsidRPr="00170082">
        <w:rPr>
          <w:rFonts w:cs="Narkisim"/>
          <w:sz w:val="24"/>
          <w:szCs w:val="24"/>
        </w:rPr>
        <w:lastRenderedPageBreak/>
        <w:t xml:space="preserve">• </w:t>
      </w:r>
      <w:r w:rsidRPr="00170082">
        <w:rPr>
          <w:rFonts w:cs="Narkisim"/>
          <w:b/>
          <w:bCs/>
          <w:sz w:val="24"/>
          <w:szCs w:val="24"/>
        </w:rPr>
        <w:t>Software segment revenue</w:t>
      </w:r>
      <w:r w:rsidRPr="00170082">
        <w:rPr>
          <w:rFonts w:cs="Narkisim"/>
          <w:sz w:val="24"/>
          <w:szCs w:val="24"/>
        </w:rPr>
        <w:t xml:space="preserve"> during the quarter grew by 13% to NIS 203.5 million, compared with NIS 180 million during the corresponding quarter last year. Revenue growth reflected organic growth and the acquisition of companies that were consolidated for the first time.</w:t>
      </w:r>
    </w:p>
    <w:p w:rsidR="00A835C8" w:rsidRPr="00170082" w:rsidRDefault="00A835C8" w:rsidP="00A835C8">
      <w:pPr>
        <w:jc w:val="both"/>
        <w:rPr>
          <w:rFonts w:cs="Narkisim"/>
          <w:sz w:val="24"/>
          <w:szCs w:val="24"/>
        </w:rPr>
      </w:pPr>
      <w:r w:rsidRPr="00170082">
        <w:rPr>
          <w:rFonts w:cs="Narkisim"/>
          <w:sz w:val="24"/>
          <w:szCs w:val="24"/>
        </w:rPr>
        <w:t xml:space="preserve">• </w:t>
      </w:r>
      <w:r w:rsidRPr="00170082">
        <w:rPr>
          <w:rFonts w:cs="Narkisim"/>
          <w:b/>
          <w:bCs/>
          <w:sz w:val="24"/>
          <w:szCs w:val="24"/>
        </w:rPr>
        <w:t>Infrastructure segment revenue</w:t>
      </w:r>
      <w:r w:rsidRPr="00170082">
        <w:rPr>
          <w:rFonts w:cs="Narkisim"/>
          <w:sz w:val="24"/>
          <w:szCs w:val="24"/>
        </w:rPr>
        <w:t xml:space="preserve"> during the quarter totaled NIS 179.9 million, compared with NIS 192.6 million during the corresponding quarter last year.</w:t>
      </w:r>
    </w:p>
    <w:p w:rsidR="00A835C8" w:rsidRPr="00170082" w:rsidRDefault="00A835C8" w:rsidP="00A835C8">
      <w:pPr>
        <w:jc w:val="both"/>
        <w:rPr>
          <w:rFonts w:cs="Narkisim"/>
          <w:sz w:val="24"/>
          <w:szCs w:val="24"/>
        </w:rPr>
      </w:pPr>
      <w:r w:rsidRPr="00170082">
        <w:rPr>
          <w:rFonts w:cs="Narkisim"/>
          <w:sz w:val="24"/>
          <w:szCs w:val="24"/>
        </w:rPr>
        <w:t xml:space="preserve">• </w:t>
      </w:r>
      <w:r w:rsidRPr="00170082">
        <w:rPr>
          <w:rFonts w:cs="Narkisim"/>
          <w:b/>
          <w:bCs/>
          <w:sz w:val="24"/>
          <w:szCs w:val="24"/>
        </w:rPr>
        <w:t>Managed services segment revenue</w:t>
      </w:r>
      <w:r w:rsidRPr="00170082">
        <w:rPr>
          <w:rFonts w:cs="Narkisim"/>
          <w:sz w:val="24"/>
          <w:szCs w:val="24"/>
        </w:rPr>
        <w:t xml:space="preserve"> during the quarter grew by 14.3% to NIS 36.5 million, compared with NIS 32 million during the corresponding quarter last year. Revenue growth was partly due to the acquisition of the remaining shares of ICSC during the second quarter of </w:t>
      </w:r>
      <w:proofErr w:type="gramStart"/>
      <w:r w:rsidRPr="00170082">
        <w:rPr>
          <w:rFonts w:cs="Narkisim"/>
          <w:sz w:val="24"/>
          <w:szCs w:val="24"/>
        </w:rPr>
        <w:t>the  year</w:t>
      </w:r>
      <w:proofErr w:type="gramEnd"/>
      <w:r w:rsidRPr="00170082">
        <w:rPr>
          <w:rFonts w:cs="Narkisim"/>
          <w:sz w:val="24"/>
          <w:szCs w:val="24"/>
        </w:rPr>
        <w:t>.</w:t>
      </w:r>
    </w:p>
    <w:p w:rsidR="00A835C8" w:rsidRPr="00170082" w:rsidRDefault="00A835C8" w:rsidP="00A835C8">
      <w:pPr>
        <w:jc w:val="both"/>
        <w:rPr>
          <w:rFonts w:cs="Narkisim"/>
          <w:sz w:val="24"/>
          <w:szCs w:val="24"/>
        </w:rPr>
      </w:pPr>
      <w:r w:rsidRPr="00170082">
        <w:rPr>
          <w:rFonts w:cs="Narkisim"/>
          <w:b/>
          <w:bCs/>
          <w:sz w:val="24"/>
          <w:szCs w:val="24"/>
        </w:rPr>
        <w:t>Gross profit</w:t>
      </w:r>
      <w:r w:rsidRPr="00170082">
        <w:rPr>
          <w:rFonts w:cs="Narkisim"/>
          <w:sz w:val="24"/>
          <w:szCs w:val="24"/>
        </w:rPr>
        <w:t xml:space="preserve"> during the fourth quarter of 2019 grew by 10.5% to NIS 76 million (18.3% of revenue), compared with NIS 68.7 million (17.1% of revenue) during the corresponding quarter last year.</w:t>
      </w:r>
    </w:p>
    <w:p w:rsidR="00A835C8" w:rsidRPr="00170082" w:rsidRDefault="00A835C8" w:rsidP="00A835C8">
      <w:pPr>
        <w:jc w:val="both"/>
        <w:rPr>
          <w:rFonts w:cs="Narkisim"/>
          <w:sz w:val="24"/>
          <w:szCs w:val="24"/>
        </w:rPr>
      </w:pPr>
      <w:r w:rsidRPr="00170082">
        <w:rPr>
          <w:rFonts w:cs="Narkisim"/>
          <w:b/>
          <w:bCs/>
          <w:sz w:val="24"/>
          <w:szCs w:val="24"/>
        </w:rPr>
        <w:t xml:space="preserve">Operating income </w:t>
      </w:r>
      <w:r w:rsidRPr="00170082">
        <w:rPr>
          <w:rFonts w:cs="Narkisim"/>
          <w:sz w:val="24"/>
          <w:szCs w:val="24"/>
        </w:rPr>
        <w:t>during the fourth quarter grew by 13.3% to NIS 33.4 million, compared with NIS 29.5 million during the corresponding quarter last year. The increase in operating income is primarily attributable to growth in the volume of software segment operations, along with an improvement in the operating income margin.</w:t>
      </w:r>
    </w:p>
    <w:p w:rsidR="00A835C8" w:rsidRPr="00170082" w:rsidRDefault="00A835C8" w:rsidP="00A835C8">
      <w:pPr>
        <w:jc w:val="both"/>
        <w:rPr>
          <w:rFonts w:cs="Narkisim"/>
          <w:sz w:val="24"/>
          <w:szCs w:val="24"/>
        </w:rPr>
      </w:pPr>
      <w:r w:rsidRPr="00170082">
        <w:rPr>
          <w:rFonts w:cs="Narkisim"/>
          <w:b/>
          <w:bCs/>
          <w:sz w:val="24"/>
          <w:szCs w:val="24"/>
        </w:rPr>
        <w:t>The operating income margin</w:t>
      </w:r>
      <w:r w:rsidRPr="00170082">
        <w:rPr>
          <w:rFonts w:cs="Narkisim"/>
          <w:sz w:val="24"/>
          <w:szCs w:val="24"/>
        </w:rPr>
        <w:t xml:space="preserve"> during the fourth quarter of 2019 was 8% compared with 7.3% during the corresponding quarter last year. The improvement in the operating income margin, compared with the corresponding quarter last year, is primarily attributed to the Company's leading operating segments.</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t>The operating income margin in the software segment</w:t>
      </w:r>
      <w:r w:rsidRPr="00170082">
        <w:rPr>
          <w:rFonts w:cs="Narkisim"/>
          <w:sz w:val="24"/>
          <w:szCs w:val="24"/>
        </w:rPr>
        <w:t xml:space="preserve"> during the quarter was 11.2%, compared with 10% during the previous quarter and 10.5% during the corresponding quarter last year.</w:t>
      </w:r>
    </w:p>
    <w:p w:rsidR="00A835C8" w:rsidRPr="00170082" w:rsidRDefault="00A835C8" w:rsidP="00A835C8">
      <w:pPr>
        <w:pStyle w:val="a"/>
        <w:numPr>
          <w:ilvl w:val="0"/>
          <w:numId w:val="14"/>
        </w:numPr>
        <w:contextualSpacing/>
        <w:jc w:val="both"/>
        <w:rPr>
          <w:rFonts w:cs="Narkisim"/>
          <w:sz w:val="24"/>
          <w:szCs w:val="24"/>
        </w:rPr>
      </w:pPr>
      <w:r w:rsidRPr="00170082">
        <w:rPr>
          <w:rFonts w:cs="Narkisim"/>
          <w:b/>
          <w:bCs/>
          <w:sz w:val="24"/>
          <w:szCs w:val="24"/>
        </w:rPr>
        <w:t>The operating income margin in the infrastructure segment</w:t>
      </w:r>
      <w:r w:rsidRPr="00170082">
        <w:rPr>
          <w:rFonts w:cs="Narkisim"/>
          <w:sz w:val="24"/>
          <w:szCs w:val="24"/>
        </w:rPr>
        <w:t xml:space="preserve"> during the quarter was 6.4%, compared with 5.6% during the previous quarter and 6.1% during the corresponding quarter last year.</w:t>
      </w:r>
    </w:p>
    <w:p w:rsidR="00A835C8" w:rsidRPr="00170082" w:rsidRDefault="00A835C8" w:rsidP="00A835C8">
      <w:pPr>
        <w:jc w:val="both"/>
        <w:rPr>
          <w:rFonts w:cs="Narkisim"/>
          <w:sz w:val="24"/>
          <w:szCs w:val="24"/>
        </w:rPr>
      </w:pPr>
      <w:r w:rsidRPr="00170082">
        <w:rPr>
          <w:rFonts w:cs="Narkisim"/>
          <w:b/>
          <w:bCs/>
          <w:sz w:val="24"/>
          <w:szCs w:val="24"/>
        </w:rPr>
        <w:t>Net income</w:t>
      </w:r>
      <w:r w:rsidRPr="00170082">
        <w:rPr>
          <w:rFonts w:cs="Narkisim"/>
          <w:sz w:val="24"/>
          <w:szCs w:val="24"/>
        </w:rPr>
        <w:t xml:space="preserve"> during the fourth quarter of 2019 grew by 11.8% to NIS 23.2 million (of which NIS 21.4 million is attributable to shareholders), compared with NIS 20.8 million (of which NIS 19.2 million is attributable to shareholders) during the corresponding quarter last year. The increase in net income reflects double-digit revenue growth along with a sharp improvement in operating income, with an emphasis on software sector improvement. </w:t>
      </w:r>
    </w:p>
    <w:p w:rsidR="00A835C8" w:rsidRPr="00170082" w:rsidRDefault="00A835C8" w:rsidP="00A835C8">
      <w:pPr>
        <w:jc w:val="both"/>
        <w:rPr>
          <w:rFonts w:cs="Narkisim"/>
          <w:sz w:val="24"/>
          <w:szCs w:val="24"/>
        </w:rPr>
      </w:pPr>
      <w:r w:rsidRPr="00170082">
        <w:rPr>
          <w:rFonts w:cs="Narkisim"/>
          <w:b/>
          <w:bCs/>
          <w:sz w:val="24"/>
          <w:szCs w:val="24"/>
        </w:rPr>
        <w:t>EBITDA</w:t>
      </w:r>
      <w:r w:rsidRPr="00170082">
        <w:rPr>
          <w:rFonts w:cs="Narkisim"/>
          <w:sz w:val="24"/>
          <w:szCs w:val="24"/>
        </w:rPr>
        <w:t xml:space="preserve"> during the fourth quarter of 2019 grew by 35.5% to NIS 46.4 million, compared with NIS 34.3 million during the corresponding quarter last year.</w:t>
      </w:r>
    </w:p>
    <w:p w:rsidR="00A835C8" w:rsidRPr="00170082" w:rsidRDefault="00A835C8" w:rsidP="00A835C8">
      <w:pPr>
        <w:rPr>
          <w:rFonts w:cs="Narkisim"/>
          <w:b/>
          <w:bCs/>
          <w:sz w:val="28"/>
          <w:szCs w:val="28"/>
          <w:u w:val="single"/>
        </w:rPr>
      </w:pPr>
      <w:r w:rsidRPr="00170082">
        <w:rPr>
          <w:rFonts w:cs="Narkisim"/>
          <w:b/>
          <w:bCs/>
          <w:sz w:val="28"/>
          <w:szCs w:val="28"/>
          <w:u w:val="single"/>
        </w:rPr>
        <w:t>Statement of Financial Position as of December 31, 2019:</w:t>
      </w:r>
    </w:p>
    <w:p w:rsidR="00A835C8" w:rsidRPr="00170082" w:rsidRDefault="00A835C8" w:rsidP="00A835C8">
      <w:pPr>
        <w:jc w:val="both"/>
        <w:rPr>
          <w:rFonts w:cs="Narkisim"/>
          <w:sz w:val="24"/>
          <w:szCs w:val="24"/>
        </w:rPr>
      </w:pPr>
      <w:r w:rsidRPr="00170082">
        <w:rPr>
          <w:rFonts w:cs="Narkisim"/>
          <w:b/>
          <w:bCs/>
          <w:sz w:val="24"/>
          <w:szCs w:val="24"/>
        </w:rPr>
        <w:t>Cash and cash equivalents</w:t>
      </w:r>
      <w:r w:rsidRPr="00170082">
        <w:rPr>
          <w:rFonts w:cs="Narkisim"/>
          <w:sz w:val="24"/>
          <w:szCs w:val="24"/>
        </w:rPr>
        <w:t xml:space="preserve"> totaled NIS 60.5 million, offset by </w:t>
      </w:r>
      <w:r w:rsidRPr="00170082">
        <w:rPr>
          <w:rFonts w:cs="Narkisim"/>
          <w:b/>
          <w:bCs/>
          <w:sz w:val="24"/>
          <w:szCs w:val="24"/>
        </w:rPr>
        <w:t>gross financial debt</w:t>
      </w:r>
      <w:r w:rsidRPr="00170082">
        <w:rPr>
          <w:rFonts w:cs="Narkisim"/>
          <w:sz w:val="24"/>
          <w:szCs w:val="24"/>
        </w:rPr>
        <w:t xml:space="preserve"> of NIS 167 million. Accordingly, </w:t>
      </w:r>
      <w:r w:rsidRPr="00170082">
        <w:rPr>
          <w:rFonts w:cs="Narkisim"/>
          <w:b/>
          <w:bCs/>
          <w:sz w:val="24"/>
          <w:szCs w:val="24"/>
        </w:rPr>
        <w:t>net financial debt</w:t>
      </w:r>
      <w:r w:rsidRPr="00170082">
        <w:rPr>
          <w:rFonts w:cs="Narkisim"/>
          <w:sz w:val="24"/>
          <w:szCs w:val="24"/>
        </w:rPr>
        <w:t xml:space="preserve"> totaled NIS 107 million.</w:t>
      </w:r>
    </w:p>
    <w:p w:rsidR="00A835C8" w:rsidRPr="00170082" w:rsidRDefault="00A835C8" w:rsidP="00A835C8">
      <w:pPr>
        <w:jc w:val="both"/>
        <w:rPr>
          <w:rFonts w:cs="Narkisim"/>
          <w:sz w:val="24"/>
          <w:szCs w:val="24"/>
        </w:rPr>
      </w:pPr>
      <w:r w:rsidRPr="00170082">
        <w:rPr>
          <w:rFonts w:cs="Narkisim"/>
          <w:b/>
          <w:bCs/>
          <w:sz w:val="24"/>
          <w:szCs w:val="24"/>
        </w:rPr>
        <w:lastRenderedPageBreak/>
        <w:t>Shareholders' equity</w:t>
      </w:r>
      <w:r w:rsidRPr="00170082">
        <w:rPr>
          <w:rFonts w:cs="Narkisim"/>
          <w:sz w:val="24"/>
          <w:szCs w:val="24"/>
        </w:rPr>
        <w:t xml:space="preserve"> totaled NIS 326.7 million, compared with NIS 298.7 million at the end of 2018. The increase in shareholders' equity follows an increase in net income</w:t>
      </w:r>
      <w:proofErr w:type="gramStart"/>
      <w:r w:rsidRPr="00170082">
        <w:rPr>
          <w:rFonts w:cs="Narkisim"/>
          <w:sz w:val="24"/>
          <w:szCs w:val="24"/>
        </w:rPr>
        <w:t>,  less</w:t>
      </w:r>
      <w:proofErr w:type="gramEnd"/>
      <w:r w:rsidRPr="00170082">
        <w:rPr>
          <w:rFonts w:cs="Narkisim"/>
          <w:sz w:val="24"/>
          <w:szCs w:val="24"/>
        </w:rPr>
        <w:t xml:space="preserve"> a NIS 52.9 million dividend distribution during the period. </w:t>
      </w:r>
    </w:p>
    <w:p w:rsidR="00A835C8" w:rsidRPr="00170082" w:rsidRDefault="00A835C8" w:rsidP="00A835C8">
      <w:pPr>
        <w:jc w:val="both"/>
        <w:rPr>
          <w:rFonts w:cs="Narkisim"/>
          <w:sz w:val="24"/>
          <w:szCs w:val="24"/>
        </w:rPr>
      </w:pPr>
      <w:r w:rsidRPr="00170082">
        <w:rPr>
          <w:rFonts w:cs="Narkisim"/>
          <w:sz w:val="24"/>
          <w:szCs w:val="24"/>
        </w:rPr>
        <w:t xml:space="preserve">At its last meeting, the Company's Board of Directors discussed the implications of the Coronavirus and decided that in light of the uncertainty regarding the duration and scope of the events, and because of its responsibility to the Company's shareholders and employees, the dividend distribution for the fourth quarter of 2019 should be deferred. The Company continues to monitor events and will provide updates as necessary. </w:t>
      </w:r>
    </w:p>
    <w:p w:rsidR="00A835C8" w:rsidRPr="00170082" w:rsidRDefault="00A835C8" w:rsidP="00A835C8">
      <w:pPr>
        <w:jc w:val="both"/>
        <w:rPr>
          <w:rFonts w:cs="Narkisim"/>
          <w:sz w:val="24"/>
          <w:szCs w:val="24"/>
        </w:rPr>
      </w:pPr>
      <w:r w:rsidRPr="00170082">
        <w:rPr>
          <w:rFonts w:cs="Narkisim"/>
          <w:sz w:val="24"/>
          <w:szCs w:val="24"/>
        </w:rPr>
        <w:t>It should be noted that for now, the Coronavirus events do not have a material impact on Company operations.</w:t>
      </w:r>
    </w:p>
    <w:p w:rsidR="00A835C8" w:rsidRPr="00170082" w:rsidRDefault="00A835C8" w:rsidP="00A835C8">
      <w:pPr>
        <w:jc w:val="both"/>
        <w:rPr>
          <w:rFonts w:cs="Narkisim"/>
          <w:sz w:val="24"/>
          <w:szCs w:val="24"/>
        </w:rPr>
      </w:pPr>
    </w:p>
    <w:p w:rsidR="00A835C8" w:rsidRPr="00170082" w:rsidRDefault="00A835C8" w:rsidP="00A835C8">
      <w:pPr>
        <w:jc w:val="both"/>
        <w:rPr>
          <w:rFonts w:cs="Narkisim"/>
          <w:b/>
          <w:bCs/>
          <w:sz w:val="28"/>
          <w:szCs w:val="28"/>
          <w:u w:val="single"/>
        </w:rPr>
      </w:pPr>
      <w:r w:rsidRPr="00170082">
        <w:rPr>
          <w:rFonts w:cs="Narkisim"/>
          <w:b/>
          <w:bCs/>
          <w:sz w:val="28"/>
          <w:szCs w:val="28"/>
          <w:u w:val="single"/>
        </w:rPr>
        <w:t>Key Events During and After Report Period:</w:t>
      </w:r>
    </w:p>
    <w:p w:rsidR="00A835C8" w:rsidRPr="00170082" w:rsidRDefault="00A835C8" w:rsidP="00A835C8">
      <w:pPr>
        <w:jc w:val="both"/>
        <w:rPr>
          <w:rFonts w:cs="Narkisim"/>
          <w:sz w:val="24"/>
          <w:szCs w:val="24"/>
        </w:rPr>
      </w:pPr>
      <w:r w:rsidRPr="00170082">
        <w:rPr>
          <w:rFonts w:cs="Narkisim"/>
          <w:b/>
          <w:bCs/>
          <w:sz w:val="24"/>
          <w:szCs w:val="24"/>
        </w:rPr>
        <w:t>During February 2020,</w:t>
      </w:r>
      <w:r w:rsidRPr="00170082">
        <w:rPr>
          <w:rFonts w:cs="Narkisim"/>
          <w:sz w:val="24"/>
          <w:szCs w:val="24"/>
        </w:rPr>
        <w:t xml:space="preserve"> the Company announced a series of management appointments - Shelly Cohen was appointed Chief Executive Officer of the Automation Company; Ori Enoch was appointed Group Chief Financial Officer; Shalom Dayan was appointed Chief Executive Officer of the Infrastructure Division; Adi Shane was appointed Head of Sales for Strategic Customers; Sasi Shilo was appointed Vice President of Business Development for the Public Sector, and </w:t>
      </w:r>
      <w:proofErr w:type="spellStart"/>
      <w:r w:rsidRPr="00170082">
        <w:rPr>
          <w:rFonts w:cs="Narkisim"/>
          <w:sz w:val="24"/>
          <w:szCs w:val="24"/>
        </w:rPr>
        <w:t>Ya'aleh</w:t>
      </w:r>
      <w:proofErr w:type="spellEnd"/>
      <w:r w:rsidRPr="00170082">
        <w:rPr>
          <w:rFonts w:cs="Narkisim"/>
          <w:sz w:val="24"/>
          <w:szCs w:val="24"/>
        </w:rPr>
        <w:t xml:space="preserve"> Bash was appointed Chief Financial Officer of the Group's software segment.</w:t>
      </w:r>
    </w:p>
    <w:p w:rsidR="00A835C8" w:rsidRPr="00170082" w:rsidRDefault="00A835C8" w:rsidP="00A835C8">
      <w:pPr>
        <w:jc w:val="both"/>
        <w:rPr>
          <w:rFonts w:cs="Narkisim"/>
          <w:sz w:val="24"/>
          <w:szCs w:val="24"/>
        </w:rPr>
      </w:pPr>
      <w:r w:rsidRPr="00170082">
        <w:rPr>
          <w:rFonts w:cs="Narkisim"/>
          <w:b/>
          <w:bCs/>
          <w:sz w:val="24"/>
          <w:szCs w:val="24"/>
        </w:rPr>
        <w:t>During December 2019</w:t>
      </w:r>
      <w:r w:rsidRPr="00170082">
        <w:rPr>
          <w:rFonts w:cs="Narkisim"/>
          <w:sz w:val="24"/>
          <w:szCs w:val="24"/>
        </w:rPr>
        <w:t xml:space="preserve">, the Company announced the signing of an agreement for the acquisition </w:t>
      </w:r>
      <w:proofErr w:type="gramStart"/>
      <w:r w:rsidRPr="00170082">
        <w:rPr>
          <w:rFonts w:cs="Narkisim"/>
          <w:sz w:val="24"/>
          <w:szCs w:val="24"/>
        </w:rPr>
        <w:t>of  51</w:t>
      </w:r>
      <w:proofErr w:type="gramEnd"/>
      <w:r w:rsidRPr="00170082">
        <w:rPr>
          <w:rFonts w:cs="Narkisim"/>
          <w:sz w:val="24"/>
          <w:szCs w:val="24"/>
        </w:rPr>
        <w:t>% of the shares of A. Epstein &amp; Sons for approximately NIS 11.2 million. The acquired company specializes in project management, in the fields of construction and infrastructure, especially national infrastructures.</w:t>
      </w:r>
    </w:p>
    <w:p w:rsidR="00A835C8" w:rsidRPr="00170082" w:rsidRDefault="00A835C8" w:rsidP="00A835C8">
      <w:pPr>
        <w:jc w:val="both"/>
        <w:rPr>
          <w:rFonts w:cs="Narkisim"/>
          <w:sz w:val="24"/>
          <w:szCs w:val="24"/>
        </w:rPr>
      </w:pPr>
      <w:r w:rsidRPr="00170082">
        <w:rPr>
          <w:rFonts w:cs="Narkisim"/>
          <w:b/>
          <w:bCs/>
          <w:sz w:val="24"/>
          <w:szCs w:val="24"/>
        </w:rPr>
        <w:t>One Software Technologies</w:t>
      </w:r>
      <w:r w:rsidRPr="00170082">
        <w:rPr>
          <w:rFonts w:cs="Narkisim"/>
          <w:sz w:val="24"/>
          <w:szCs w:val="24"/>
        </w:rPr>
        <w:t xml:space="preserve"> is one of Israel's leading IT companies. The Company provides technology solutions to thousands of customers in various segments of the economy and has approximately 4,000 professional employees located in Israel and abroad. The Company's shares are included in the TA 125 index of the Tel Aviv Stock Exchange. Mr. Adi Eyal services as Company Chief Executive Officer. </w:t>
      </w:r>
    </w:p>
    <w:p w:rsidR="00A835C8" w:rsidRPr="00170082" w:rsidRDefault="00A835C8" w:rsidP="00A835C8">
      <w:pPr>
        <w:jc w:val="both"/>
        <w:rPr>
          <w:rFonts w:cs="Narkisim"/>
          <w:sz w:val="24"/>
          <w:szCs w:val="24"/>
        </w:rPr>
      </w:pPr>
    </w:p>
    <w:p w:rsidR="00A835C8" w:rsidRPr="00560A86" w:rsidRDefault="00A835C8" w:rsidP="00A835C8">
      <w:pPr>
        <w:jc w:val="both"/>
        <w:rPr>
          <w:rFonts w:ascii="Narkisim" w:hAnsi="Narkisim" w:cs="Narkisim"/>
          <w:sz w:val="24"/>
          <w:szCs w:val="24"/>
        </w:rPr>
      </w:pPr>
    </w:p>
    <w:p w:rsidR="00A835C8" w:rsidRPr="00D377F9" w:rsidRDefault="00A835C8" w:rsidP="00A835C8">
      <w:pPr>
        <w:jc w:val="center"/>
        <w:rPr>
          <w:rFonts w:ascii="Narkisim" w:hAnsi="Narkisim" w:cs="Narkisim"/>
          <w:b/>
          <w:bCs/>
          <w:sz w:val="24"/>
          <w:szCs w:val="24"/>
          <w:u w:val="single"/>
        </w:rPr>
      </w:pPr>
      <w:r w:rsidRPr="00D377F9">
        <w:rPr>
          <w:rFonts w:ascii="Narkisim" w:hAnsi="Narkisim" w:cs="Narkisim"/>
          <w:b/>
          <w:bCs/>
          <w:sz w:val="24"/>
          <w:szCs w:val="24"/>
          <w:u w:val="single"/>
        </w:rPr>
        <w:t>For further details</w:t>
      </w:r>
      <w:r>
        <w:rPr>
          <w:rFonts w:ascii="Narkisim" w:hAnsi="Narkisim" w:cs="Narkisim"/>
          <w:b/>
          <w:bCs/>
          <w:sz w:val="24"/>
          <w:szCs w:val="24"/>
          <w:u w:val="single"/>
        </w:rPr>
        <w:t>, please contact</w:t>
      </w:r>
      <w:r w:rsidRPr="00D377F9">
        <w:rPr>
          <w:rFonts w:ascii="Narkisim" w:hAnsi="Narkisim" w:cs="Narkisim"/>
          <w:b/>
          <w:bCs/>
          <w:sz w:val="24"/>
          <w:szCs w:val="24"/>
          <w:u w:val="single"/>
        </w:rPr>
        <w:t>: Amir Eisenberg 052- 8260285; Sha</w:t>
      </w:r>
      <w:r>
        <w:rPr>
          <w:rFonts w:ascii="Narkisim" w:hAnsi="Narkisim" w:cs="Narkisim"/>
          <w:b/>
          <w:bCs/>
          <w:sz w:val="24"/>
          <w:szCs w:val="24"/>
          <w:u w:val="single"/>
        </w:rPr>
        <w:t>i</w:t>
      </w:r>
      <w:r w:rsidRPr="00D377F9">
        <w:rPr>
          <w:rFonts w:ascii="Narkisim" w:hAnsi="Narkisim" w:cs="Narkisim"/>
          <w:b/>
          <w:bCs/>
          <w:sz w:val="24"/>
          <w:szCs w:val="24"/>
          <w:u w:val="single"/>
        </w:rPr>
        <w:t xml:space="preserve"> </w:t>
      </w:r>
      <w:proofErr w:type="spellStart"/>
      <w:r w:rsidRPr="00750498">
        <w:rPr>
          <w:rFonts w:ascii="Narkisim" w:hAnsi="Narkisim" w:cs="Narkisim"/>
          <w:b/>
          <w:bCs/>
          <w:sz w:val="24"/>
          <w:szCs w:val="24"/>
          <w:u w:val="single"/>
        </w:rPr>
        <w:t>Eliash</w:t>
      </w:r>
      <w:proofErr w:type="spellEnd"/>
      <w:r w:rsidRPr="00750498">
        <w:rPr>
          <w:rFonts w:ascii="Narkisim" w:hAnsi="Narkisim" w:cs="Narkisim"/>
          <w:b/>
          <w:bCs/>
          <w:sz w:val="24"/>
          <w:szCs w:val="24"/>
          <w:u w:val="single"/>
        </w:rPr>
        <w:t xml:space="preserve"> </w:t>
      </w:r>
      <w:r w:rsidRPr="00D377F9">
        <w:rPr>
          <w:rFonts w:ascii="Narkisim" w:hAnsi="Narkisim" w:cs="Narkisim"/>
          <w:b/>
          <w:bCs/>
          <w:sz w:val="24"/>
          <w:szCs w:val="24"/>
          <w:u w:val="single"/>
        </w:rPr>
        <w:t xml:space="preserve">052-2546635; </w:t>
      </w:r>
      <w:r w:rsidRPr="00750498">
        <w:rPr>
          <w:rFonts w:ascii="Narkisim" w:hAnsi="Narkisim" w:cs="Narkisim"/>
          <w:b/>
          <w:bCs/>
          <w:sz w:val="24"/>
          <w:szCs w:val="24"/>
          <w:u w:val="single"/>
        </w:rPr>
        <w:t xml:space="preserve">Yossi Fink </w:t>
      </w:r>
      <w:r w:rsidRPr="00D377F9">
        <w:rPr>
          <w:rFonts w:ascii="Narkisim" w:hAnsi="Narkisim" w:cs="Narkisim"/>
          <w:b/>
          <w:bCs/>
          <w:sz w:val="24"/>
          <w:szCs w:val="24"/>
          <w:u w:val="single"/>
        </w:rPr>
        <w:t xml:space="preserve">052-4888857; </w:t>
      </w:r>
    </w:p>
    <w:p w:rsidR="00A835C8" w:rsidRPr="00750498" w:rsidRDefault="00A835C8" w:rsidP="00A835C8">
      <w:pPr>
        <w:jc w:val="center"/>
        <w:rPr>
          <w:rFonts w:ascii="Narkisim" w:hAnsi="Narkisim" w:cs="Narkisim"/>
          <w:b/>
          <w:bCs/>
          <w:sz w:val="24"/>
          <w:szCs w:val="24"/>
          <w:u w:val="single"/>
        </w:rPr>
      </w:pPr>
      <w:r w:rsidRPr="00750498">
        <w:rPr>
          <w:rFonts w:ascii="Narkisim" w:hAnsi="Narkisim" w:cs="Narkisim"/>
          <w:b/>
          <w:bCs/>
          <w:sz w:val="24"/>
          <w:szCs w:val="24"/>
          <w:u w:val="single"/>
        </w:rPr>
        <w:t xml:space="preserve">Lee Shine </w:t>
      </w:r>
      <w:r w:rsidRPr="00D377F9">
        <w:rPr>
          <w:rFonts w:ascii="Narkisim" w:hAnsi="Narkisim" w:cs="Narkisim"/>
          <w:b/>
          <w:bCs/>
          <w:sz w:val="24"/>
          <w:szCs w:val="24"/>
          <w:u w:val="single"/>
        </w:rPr>
        <w:t xml:space="preserve">052-7512226; </w:t>
      </w:r>
      <w:proofErr w:type="spellStart"/>
      <w:r w:rsidRPr="00D377F9">
        <w:rPr>
          <w:rFonts w:ascii="Narkisim" w:hAnsi="Narkisim" w:cs="Narkisim"/>
          <w:b/>
          <w:bCs/>
          <w:sz w:val="24"/>
          <w:szCs w:val="24"/>
          <w:u w:val="single"/>
        </w:rPr>
        <w:t>Yoav</w:t>
      </w:r>
      <w:proofErr w:type="spellEnd"/>
      <w:r w:rsidRPr="00D377F9">
        <w:rPr>
          <w:rFonts w:ascii="Narkisim" w:hAnsi="Narkisim" w:cs="Narkisim"/>
          <w:b/>
          <w:bCs/>
          <w:sz w:val="24"/>
          <w:szCs w:val="24"/>
          <w:u w:val="single"/>
        </w:rPr>
        <w:t xml:space="preserve"> Naomi 054-6300933; Office: 03-</w:t>
      </w:r>
      <w:r w:rsidRPr="00750498">
        <w:rPr>
          <w:rFonts w:ascii="Narkisim" w:hAnsi="Narkisim" w:cs="Narkisim"/>
          <w:b/>
          <w:bCs/>
          <w:sz w:val="24"/>
          <w:szCs w:val="24"/>
          <w:u w:val="single"/>
        </w:rPr>
        <w:t>7538828</w:t>
      </w:r>
    </w:p>
    <w:p w:rsidR="00A835C8" w:rsidRPr="00D377F9" w:rsidRDefault="00A835C8" w:rsidP="00A835C8">
      <w:pPr>
        <w:jc w:val="both"/>
        <w:rPr>
          <w:rFonts w:ascii="Narkisim" w:hAnsi="Narkisim" w:cs="Narkisim"/>
          <w:b/>
          <w:bCs/>
          <w:sz w:val="24"/>
          <w:szCs w:val="24"/>
          <w:u w:val="single"/>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A835C8" w:rsidRDefault="00A835C8" w:rsidP="00A835C8">
      <w:pPr>
        <w:jc w:val="both"/>
        <w:rPr>
          <w:rFonts w:ascii="Narkisim" w:hAnsi="Narkisim" w:cs="Narkisim"/>
          <w:sz w:val="24"/>
          <w:szCs w:val="24"/>
        </w:rPr>
      </w:pPr>
    </w:p>
    <w:p w:rsidR="00C100D2" w:rsidRPr="00CB2E74" w:rsidRDefault="00C100D2" w:rsidP="00CB2E74">
      <w:pPr>
        <w:pStyle w:val="SectionSubtitle"/>
        <w:rPr>
          <w:rStyle w:val="af"/>
          <w:sz w:val="22"/>
          <w:szCs w:val="22"/>
          <w:rtl/>
        </w:rPr>
      </w:pPr>
    </w:p>
    <w:sectPr w:rsidR="00C100D2" w:rsidRPr="00CB2E74" w:rsidSect="001A60E4">
      <w:headerReference w:type="even" r:id="rId8"/>
      <w:headerReference w:type="default" r:id="rId9"/>
      <w:footerReference w:type="even" r:id="rId10"/>
      <w:footerReference w:type="default" r:id="rId11"/>
      <w:headerReference w:type="first" r:id="rId12"/>
      <w:footerReference w:type="first" r:id="rId13"/>
      <w:pgSz w:w="11906" w:h="16838"/>
      <w:pgMar w:top="2160" w:right="964" w:bottom="1701" w:left="964" w:header="709" w:footer="28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C8" w:rsidRDefault="00A835C8" w:rsidP="00BC7FB5">
      <w:r>
        <w:separator/>
      </w:r>
    </w:p>
  </w:endnote>
  <w:endnote w:type="continuationSeparator" w:id="0">
    <w:p w:rsidR="00A835C8" w:rsidRDefault="00A835C8" w:rsidP="00BC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altName w:val="Malgun Gothic Semilight"/>
    <w:charset w:val="B1"/>
    <w:family w:val="swiss"/>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AF" w:rsidRDefault="00412B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E4" w:rsidRDefault="001A60E4">
    <w:pPr>
      <w:pStyle w:val="a6"/>
    </w:pPr>
    <w:r>
      <w:rPr>
        <w:noProof/>
        <w:rtl/>
      </w:rPr>
      <w:drawing>
        <wp:anchor distT="0" distB="0" distL="114300" distR="114300" simplePos="0" relativeHeight="251668480" behindDoc="1" locked="0" layoutInCell="1" allowOverlap="1" wp14:anchorId="4998036B" wp14:editId="766FF2DE">
          <wp:simplePos x="0" y="0"/>
          <wp:positionH relativeFrom="column">
            <wp:posOffset>-247973</wp:posOffset>
          </wp:positionH>
          <wp:positionV relativeFrom="paragraph">
            <wp:posOffset>-449451</wp:posOffset>
          </wp:positionV>
          <wp:extent cx="6865539" cy="761299"/>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temp_02.jpg"/>
                  <pic:cNvPicPr/>
                </pic:nvPicPr>
                <pic:blipFill rotWithShape="1">
                  <a:blip r:embed="rId1">
                    <a:extLst>
                      <a:ext uri="{28A0092B-C50C-407E-A947-70E740481C1C}">
                        <a14:useLocalDpi xmlns:a14="http://schemas.microsoft.com/office/drawing/2010/main" val="0"/>
                      </a:ext>
                    </a:extLst>
                  </a:blip>
                  <a:stretch/>
                </pic:blipFill>
                <pic:spPr bwMode="auto">
                  <a:xfrm>
                    <a:off x="0" y="0"/>
                    <a:ext cx="6865539" cy="761299"/>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E8" w:rsidRPr="000D43C5" w:rsidRDefault="006D65E8" w:rsidP="00BC7FB5">
    <w:pPr>
      <w:pStyle w:val="Footer-coverpage"/>
      <w:jc w:val="lef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C8" w:rsidRDefault="00A835C8" w:rsidP="00BC7FB5">
      <w:r>
        <w:separator/>
      </w:r>
    </w:p>
  </w:footnote>
  <w:footnote w:type="continuationSeparator" w:id="0">
    <w:p w:rsidR="00A835C8" w:rsidRDefault="00A835C8" w:rsidP="00BC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AF" w:rsidRDefault="00412B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E8" w:rsidRDefault="00465C80" w:rsidP="00BC7FB5">
    <w:pPr>
      <w:pStyle w:val="a4"/>
    </w:pPr>
    <w:r>
      <w:rPr>
        <w:noProof/>
      </w:rPr>
      <w:drawing>
        <wp:anchor distT="0" distB="0" distL="114300" distR="114300" simplePos="0" relativeHeight="251666432" behindDoc="0" locked="0" layoutInCell="1" allowOverlap="1" wp14:anchorId="49E79374" wp14:editId="527762BC">
          <wp:simplePos x="0" y="0"/>
          <wp:positionH relativeFrom="column">
            <wp:posOffset>48260</wp:posOffset>
          </wp:positionH>
          <wp:positionV relativeFrom="paragraph">
            <wp:posOffset>114935</wp:posOffset>
          </wp:positionV>
          <wp:extent cx="1828800" cy="316831"/>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7@4x.png"/>
                  <pic:cNvPicPr/>
                </pic:nvPicPr>
                <pic:blipFill>
                  <a:blip r:embed="rId1">
                    <a:extLst>
                      <a:ext uri="{28A0092B-C50C-407E-A947-70E740481C1C}">
                        <a14:useLocalDpi xmlns:a14="http://schemas.microsoft.com/office/drawing/2010/main" val="0"/>
                      </a:ext>
                    </a:extLst>
                  </a:blip>
                  <a:stretch>
                    <a:fillRect/>
                  </a:stretch>
                </pic:blipFill>
                <pic:spPr>
                  <a:xfrm>
                    <a:off x="0" y="0"/>
                    <a:ext cx="1828800" cy="31683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E8" w:rsidRDefault="006D65E8" w:rsidP="00BC7FB5">
    <w:pPr>
      <w:pStyle w:val="a4"/>
    </w:pPr>
    <w:r w:rsidRPr="00022A89">
      <w:rPr>
        <w:noProof/>
      </w:rPr>
      <w:drawing>
        <wp:anchor distT="0" distB="0" distL="114300" distR="114300" simplePos="0" relativeHeight="251661312" behindDoc="0" locked="0" layoutInCell="1" allowOverlap="1" wp14:anchorId="1149DA07" wp14:editId="5832882F">
          <wp:simplePos x="0" y="0"/>
          <wp:positionH relativeFrom="column">
            <wp:posOffset>64135</wp:posOffset>
          </wp:positionH>
          <wp:positionV relativeFrom="paragraph">
            <wp:posOffset>159385</wp:posOffset>
          </wp:positionV>
          <wp:extent cx="1800225" cy="311881"/>
          <wp:effectExtent l="0" t="0" r="3175"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2909" cy="329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ED"/>
    <w:multiLevelType w:val="hybridMultilevel"/>
    <w:tmpl w:val="D9B4558C"/>
    <w:lvl w:ilvl="0" w:tplc="393061E2">
      <w:start w:val="1"/>
      <w:numFmt w:val="bullet"/>
      <w:pStyle w:val="a"/>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02F4A"/>
    <w:multiLevelType w:val="hybridMultilevel"/>
    <w:tmpl w:val="E468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01A"/>
    <w:multiLevelType w:val="hybridMultilevel"/>
    <w:tmpl w:val="19005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8F9"/>
    <w:multiLevelType w:val="hybridMultilevel"/>
    <w:tmpl w:val="677A5468"/>
    <w:lvl w:ilvl="0" w:tplc="8F180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7AC8"/>
    <w:multiLevelType w:val="hybridMultilevel"/>
    <w:tmpl w:val="00D07228"/>
    <w:lvl w:ilvl="0" w:tplc="3504241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B59DA"/>
    <w:multiLevelType w:val="hybridMultilevel"/>
    <w:tmpl w:val="BB76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47342"/>
    <w:multiLevelType w:val="hybridMultilevel"/>
    <w:tmpl w:val="89BEB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3544B"/>
    <w:multiLevelType w:val="hybridMultilevel"/>
    <w:tmpl w:val="012A1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20548"/>
    <w:multiLevelType w:val="hybridMultilevel"/>
    <w:tmpl w:val="EAA41BF6"/>
    <w:lvl w:ilvl="0" w:tplc="8F1800EA">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871661"/>
    <w:multiLevelType w:val="hybridMultilevel"/>
    <w:tmpl w:val="8668A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C52E5"/>
    <w:multiLevelType w:val="hybridMultilevel"/>
    <w:tmpl w:val="842CFB6A"/>
    <w:lvl w:ilvl="0" w:tplc="7C42589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2104D"/>
    <w:multiLevelType w:val="hybridMultilevel"/>
    <w:tmpl w:val="7DB0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008AC"/>
    <w:multiLevelType w:val="hybridMultilevel"/>
    <w:tmpl w:val="C6B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B03CA"/>
    <w:multiLevelType w:val="hybridMultilevel"/>
    <w:tmpl w:val="2D14AAE2"/>
    <w:lvl w:ilvl="0" w:tplc="3504241E">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3"/>
  </w:num>
  <w:num w:numId="6">
    <w:abstractNumId w:val="0"/>
  </w:num>
  <w:num w:numId="7">
    <w:abstractNumId w:val="12"/>
  </w:num>
  <w:num w:numId="8">
    <w:abstractNumId w:val="10"/>
  </w:num>
  <w:num w:numId="9">
    <w:abstractNumId w:val="8"/>
  </w:num>
  <w:num w:numId="10">
    <w:abstractNumId w:val="3"/>
  </w:num>
  <w:num w:numId="11">
    <w:abstractNumId w:val="9"/>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C8"/>
    <w:rsid w:val="00021A6C"/>
    <w:rsid w:val="00022A89"/>
    <w:rsid w:val="00066FBD"/>
    <w:rsid w:val="000C13C4"/>
    <w:rsid w:val="000D43C5"/>
    <w:rsid w:val="000D7508"/>
    <w:rsid w:val="001248A0"/>
    <w:rsid w:val="00130A23"/>
    <w:rsid w:val="00131226"/>
    <w:rsid w:val="00146972"/>
    <w:rsid w:val="00154981"/>
    <w:rsid w:val="00167D65"/>
    <w:rsid w:val="00170414"/>
    <w:rsid w:val="001A60E4"/>
    <w:rsid w:val="001B1EB0"/>
    <w:rsid w:val="001B3EF1"/>
    <w:rsid w:val="001E7E36"/>
    <w:rsid w:val="00230AA9"/>
    <w:rsid w:val="002A7DF6"/>
    <w:rsid w:val="002D1E9F"/>
    <w:rsid w:val="003077FA"/>
    <w:rsid w:val="003205CB"/>
    <w:rsid w:val="003451F2"/>
    <w:rsid w:val="00350311"/>
    <w:rsid w:val="00360935"/>
    <w:rsid w:val="00366791"/>
    <w:rsid w:val="00386388"/>
    <w:rsid w:val="003A09D6"/>
    <w:rsid w:val="003A206A"/>
    <w:rsid w:val="003A4D48"/>
    <w:rsid w:val="003A5E6B"/>
    <w:rsid w:val="003B53D2"/>
    <w:rsid w:val="003D069E"/>
    <w:rsid w:val="003E7B08"/>
    <w:rsid w:val="00406D8A"/>
    <w:rsid w:val="00412BAF"/>
    <w:rsid w:val="00422A56"/>
    <w:rsid w:val="00460187"/>
    <w:rsid w:val="00465C80"/>
    <w:rsid w:val="00492767"/>
    <w:rsid w:val="004A0F5D"/>
    <w:rsid w:val="004A18DC"/>
    <w:rsid w:val="004B0AA6"/>
    <w:rsid w:val="004B128D"/>
    <w:rsid w:val="004C1FE4"/>
    <w:rsid w:val="004C66E0"/>
    <w:rsid w:val="0051704A"/>
    <w:rsid w:val="005235DB"/>
    <w:rsid w:val="00554913"/>
    <w:rsid w:val="005D653E"/>
    <w:rsid w:val="00602DBB"/>
    <w:rsid w:val="00652A6F"/>
    <w:rsid w:val="00682434"/>
    <w:rsid w:val="006A3E7C"/>
    <w:rsid w:val="006D5808"/>
    <w:rsid w:val="006D65E8"/>
    <w:rsid w:val="007042D8"/>
    <w:rsid w:val="007117A3"/>
    <w:rsid w:val="0075662B"/>
    <w:rsid w:val="00776EE7"/>
    <w:rsid w:val="007D3CB0"/>
    <w:rsid w:val="00816A62"/>
    <w:rsid w:val="0082376A"/>
    <w:rsid w:val="00823BA3"/>
    <w:rsid w:val="0083140E"/>
    <w:rsid w:val="0088295D"/>
    <w:rsid w:val="008C456F"/>
    <w:rsid w:val="009109DF"/>
    <w:rsid w:val="00937256"/>
    <w:rsid w:val="0096475B"/>
    <w:rsid w:val="00966390"/>
    <w:rsid w:val="00972D20"/>
    <w:rsid w:val="00991082"/>
    <w:rsid w:val="009E31D8"/>
    <w:rsid w:val="009F1960"/>
    <w:rsid w:val="00A01E3D"/>
    <w:rsid w:val="00A81CC8"/>
    <w:rsid w:val="00A835C8"/>
    <w:rsid w:val="00A96FD7"/>
    <w:rsid w:val="00B23719"/>
    <w:rsid w:val="00B32BFA"/>
    <w:rsid w:val="00B40A83"/>
    <w:rsid w:val="00B87C4A"/>
    <w:rsid w:val="00BA13F3"/>
    <w:rsid w:val="00BC7FB5"/>
    <w:rsid w:val="00C100D2"/>
    <w:rsid w:val="00C31DA5"/>
    <w:rsid w:val="00C36942"/>
    <w:rsid w:val="00C514B4"/>
    <w:rsid w:val="00C52764"/>
    <w:rsid w:val="00C72FAE"/>
    <w:rsid w:val="00C76141"/>
    <w:rsid w:val="00C84387"/>
    <w:rsid w:val="00CA3E9E"/>
    <w:rsid w:val="00CA5723"/>
    <w:rsid w:val="00CB0861"/>
    <w:rsid w:val="00CB2E74"/>
    <w:rsid w:val="00CF329F"/>
    <w:rsid w:val="00D509AC"/>
    <w:rsid w:val="00D95EEE"/>
    <w:rsid w:val="00DA2D12"/>
    <w:rsid w:val="00DA75B0"/>
    <w:rsid w:val="00DB5332"/>
    <w:rsid w:val="00E907DD"/>
    <w:rsid w:val="00EB4C63"/>
    <w:rsid w:val="00EB64CF"/>
    <w:rsid w:val="00EE62BA"/>
    <w:rsid w:val="00EF28CC"/>
    <w:rsid w:val="00F34D75"/>
    <w:rsid w:val="00FA16A6"/>
    <w:rsid w:val="00FA4A14"/>
    <w:rsid w:val="00FA7871"/>
    <w:rsid w:val="00FB764F"/>
    <w:rsid w:val="00FC79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6186"/>
  <w15:chartTrackingRefBased/>
  <w15:docId w15:val="{A532BD78-4577-4D2A-A878-FDC7177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5C8"/>
    <w:pPr>
      <w:spacing w:after="160" w:line="259" w:lineRule="auto"/>
    </w:pPr>
  </w:style>
  <w:style w:type="paragraph" w:styleId="1">
    <w:name w:val="heading 1"/>
    <w:basedOn w:val="a0"/>
    <w:next w:val="a0"/>
    <w:link w:val="10"/>
    <w:uiPriority w:val="9"/>
    <w:qFormat/>
    <w:rsid w:val="00E907DD"/>
    <w:pPr>
      <w:outlineLvl w:val="0"/>
    </w:pPr>
    <w:rPr>
      <w:sz w:val="36"/>
      <w:szCs w:val="36"/>
    </w:rPr>
  </w:style>
  <w:style w:type="paragraph" w:styleId="2">
    <w:name w:val="heading 2"/>
    <w:basedOn w:val="a0"/>
    <w:next w:val="a0"/>
    <w:link w:val="20"/>
    <w:uiPriority w:val="9"/>
    <w:semiHidden/>
    <w:unhideWhenUsed/>
    <w:qFormat/>
    <w:rsid w:val="00DB5332"/>
    <w:pPr>
      <w:keepNext/>
      <w:keepLines/>
      <w:spacing w:before="40"/>
      <w:outlineLvl w:val="1"/>
    </w:pPr>
    <w:rPr>
      <w:rFonts w:asciiTheme="majorHAnsi" w:eastAsiaTheme="majorEastAsia" w:hAnsiTheme="majorHAnsi" w:cstheme="majorBidi"/>
      <w:color w:val="0EBBFF"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81CC8"/>
    <w:pPr>
      <w:tabs>
        <w:tab w:val="center" w:pos="4153"/>
        <w:tab w:val="right" w:pos="8306"/>
      </w:tabs>
    </w:pPr>
  </w:style>
  <w:style w:type="character" w:customStyle="1" w:styleId="a5">
    <w:name w:val="כותרת עליונה תו"/>
    <w:basedOn w:val="a1"/>
    <w:link w:val="a4"/>
    <w:uiPriority w:val="99"/>
    <w:rsid w:val="00A81CC8"/>
  </w:style>
  <w:style w:type="paragraph" w:styleId="a6">
    <w:name w:val="footer"/>
    <w:basedOn w:val="a0"/>
    <w:link w:val="a7"/>
    <w:uiPriority w:val="99"/>
    <w:unhideWhenUsed/>
    <w:rsid w:val="00A81CC8"/>
    <w:pPr>
      <w:tabs>
        <w:tab w:val="center" w:pos="4153"/>
        <w:tab w:val="right" w:pos="8306"/>
      </w:tabs>
    </w:pPr>
  </w:style>
  <w:style w:type="character" w:customStyle="1" w:styleId="a7">
    <w:name w:val="כותרת תחתונה תו"/>
    <w:basedOn w:val="a1"/>
    <w:link w:val="a6"/>
    <w:uiPriority w:val="99"/>
    <w:rsid w:val="00A81CC8"/>
  </w:style>
  <w:style w:type="paragraph" w:styleId="a8">
    <w:name w:val="No Spacing"/>
    <w:link w:val="a9"/>
    <w:uiPriority w:val="1"/>
    <w:qFormat/>
    <w:rsid w:val="00022A89"/>
    <w:rPr>
      <w:rFonts w:eastAsiaTheme="minorEastAsia"/>
      <w:lang w:eastAsia="zh-CN" w:bidi="ar-SA"/>
    </w:rPr>
  </w:style>
  <w:style w:type="character" w:customStyle="1" w:styleId="a9">
    <w:name w:val="ללא מרווח תו"/>
    <w:basedOn w:val="a1"/>
    <w:link w:val="a8"/>
    <w:uiPriority w:val="1"/>
    <w:rsid w:val="00022A89"/>
    <w:rPr>
      <w:rFonts w:eastAsiaTheme="minorEastAsia"/>
      <w:lang w:val="en-US" w:eastAsia="zh-CN" w:bidi="ar-SA"/>
    </w:rPr>
  </w:style>
  <w:style w:type="character" w:styleId="Hyperlink">
    <w:name w:val="Hyperlink"/>
    <w:basedOn w:val="a1"/>
    <w:uiPriority w:val="99"/>
    <w:unhideWhenUsed/>
    <w:rsid w:val="00022A89"/>
    <w:rPr>
      <w:color w:val="69D4FF" w:themeColor="hyperlink"/>
      <w:u w:val="single"/>
    </w:rPr>
  </w:style>
  <w:style w:type="character" w:customStyle="1" w:styleId="UnresolvedMention">
    <w:name w:val="Unresolved Mention"/>
    <w:basedOn w:val="a1"/>
    <w:uiPriority w:val="99"/>
    <w:semiHidden/>
    <w:unhideWhenUsed/>
    <w:rsid w:val="00022A89"/>
    <w:rPr>
      <w:color w:val="605E5C"/>
      <w:shd w:val="clear" w:color="auto" w:fill="E1DFDD"/>
    </w:rPr>
  </w:style>
  <w:style w:type="paragraph" w:styleId="a">
    <w:name w:val="List Paragraph"/>
    <w:basedOn w:val="a0"/>
    <w:uiPriority w:val="34"/>
    <w:qFormat/>
    <w:rsid w:val="00366791"/>
    <w:pPr>
      <w:numPr>
        <w:numId w:val="6"/>
      </w:numPr>
      <w:ind w:left="369" w:hanging="284"/>
    </w:pPr>
  </w:style>
  <w:style w:type="paragraph" w:styleId="aa">
    <w:name w:val="Title"/>
    <w:basedOn w:val="a0"/>
    <w:next w:val="a0"/>
    <w:link w:val="ab"/>
    <w:uiPriority w:val="10"/>
    <w:qFormat/>
    <w:rsid w:val="00E907DD"/>
    <w:pPr>
      <w:spacing w:line="216" w:lineRule="auto"/>
    </w:pPr>
    <w:rPr>
      <w:b/>
      <w:bCs/>
      <w:sz w:val="72"/>
      <w:szCs w:val="72"/>
    </w:rPr>
  </w:style>
  <w:style w:type="character" w:customStyle="1" w:styleId="ab">
    <w:name w:val="כותרת טקסט תו"/>
    <w:basedOn w:val="a1"/>
    <w:link w:val="aa"/>
    <w:uiPriority w:val="10"/>
    <w:rsid w:val="00E907DD"/>
    <w:rPr>
      <w:rFonts w:asciiTheme="minorBidi" w:hAnsiTheme="minorBidi"/>
      <w:b/>
      <w:bCs/>
      <w:sz w:val="72"/>
      <w:szCs w:val="72"/>
      <w:lang w:val="en-US"/>
    </w:rPr>
  </w:style>
  <w:style w:type="character" w:customStyle="1" w:styleId="10">
    <w:name w:val="כותרת 1 תו"/>
    <w:basedOn w:val="a1"/>
    <w:link w:val="1"/>
    <w:uiPriority w:val="9"/>
    <w:rsid w:val="00E907DD"/>
    <w:rPr>
      <w:rFonts w:asciiTheme="minorBidi" w:hAnsiTheme="minorBidi"/>
      <w:sz w:val="36"/>
      <w:szCs w:val="36"/>
      <w:lang w:val="en-US"/>
    </w:rPr>
  </w:style>
  <w:style w:type="paragraph" w:styleId="ac">
    <w:name w:val="Subtitle"/>
    <w:basedOn w:val="a0"/>
    <w:next w:val="a0"/>
    <w:link w:val="ad"/>
    <w:uiPriority w:val="11"/>
    <w:qFormat/>
    <w:rsid w:val="00E907DD"/>
    <w:rPr>
      <w:b/>
      <w:bCs/>
    </w:rPr>
  </w:style>
  <w:style w:type="character" w:customStyle="1" w:styleId="ad">
    <w:name w:val="כותרת משנה תו"/>
    <w:basedOn w:val="a1"/>
    <w:link w:val="ac"/>
    <w:uiPriority w:val="11"/>
    <w:rsid w:val="00E907DD"/>
    <w:rPr>
      <w:rFonts w:asciiTheme="minorBidi" w:hAnsiTheme="minorBidi"/>
      <w:b/>
      <w:bCs/>
      <w:sz w:val="24"/>
      <w:szCs w:val="24"/>
      <w:lang w:val="en-US"/>
    </w:rPr>
  </w:style>
  <w:style w:type="table" w:styleId="ae">
    <w:name w:val="Table Grid"/>
    <w:basedOn w:val="a2"/>
    <w:uiPriority w:val="39"/>
    <w:rsid w:val="00E9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Table Columns 2"/>
    <w:basedOn w:val="a2"/>
    <w:uiPriority w:val="99"/>
    <w:semiHidden/>
    <w:unhideWhenUsed/>
    <w:rsid w:val="00E907DD"/>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Grid Table 2 Accent 6"/>
    <w:basedOn w:val="a2"/>
    <w:uiPriority w:val="47"/>
    <w:rsid w:val="00E907DD"/>
    <w:tblPr>
      <w:tblStyleRowBandSize w:val="1"/>
      <w:tblStyleColBandSize w:val="1"/>
      <w:tblBorders>
        <w:top w:val="single" w:sz="2" w:space="0" w:color="87E3DA" w:themeColor="accent6" w:themeTint="99"/>
        <w:bottom w:val="single" w:sz="2" w:space="0" w:color="87E3DA" w:themeColor="accent6" w:themeTint="99"/>
        <w:insideH w:val="single" w:sz="2" w:space="0" w:color="87E3DA" w:themeColor="accent6" w:themeTint="99"/>
        <w:insideV w:val="single" w:sz="2" w:space="0" w:color="87E3DA" w:themeColor="accent6" w:themeTint="99"/>
      </w:tblBorders>
    </w:tblPr>
    <w:tblStylePr w:type="firstRow">
      <w:rPr>
        <w:b/>
        <w:bCs/>
      </w:rPr>
      <w:tblPr/>
      <w:tcPr>
        <w:tcBorders>
          <w:top w:val="nil"/>
          <w:bottom w:val="single" w:sz="12" w:space="0" w:color="87E3DA" w:themeColor="accent6" w:themeTint="99"/>
          <w:insideH w:val="nil"/>
          <w:insideV w:val="nil"/>
        </w:tcBorders>
        <w:shd w:val="clear" w:color="auto" w:fill="FFFFFF" w:themeFill="background1"/>
      </w:tcPr>
    </w:tblStylePr>
    <w:tblStylePr w:type="lastRow">
      <w:rPr>
        <w:b/>
        <w:bCs/>
      </w:rPr>
      <w:tblPr/>
      <w:tcPr>
        <w:tcBorders>
          <w:top w:val="double" w:sz="2" w:space="0" w:color="87E3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5F2" w:themeFill="accent6" w:themeFillTint="33"/>
      </w:tcPr>
    </w:tblStylePr>
    <w:tblStylePr w:type="band1Horz">
      <w:tblPr/>
      <w:tcPr>
        <w:shd w:val="clear" w:color="auto" w:fill="D7F5F2" w:themeFill="accent6" w:themeFillTint="33"/>
      </w:tcPr>
    </w:tblStylePr>
  </w:style>
  <w:style w:type="table" w:styleId="4-6">
    <w:name w:val="Grid Table 4 Accent 6"/>
    <w:aliases w:val="ONE Grid Table 4 - Accent 6"/>
    <w:basedOn w:val="a2"/>
    <w:uiPriority w:val="49"/>
    <w:rsid w:val="00EB4C63"/>
    <w:pPr>
      <w:jc w:val="right"/>
    </w:pPr>
    <w:rPr>
      <w:rFonts w:asciiTheme="minorBidi" w:hAnsiTheme="minorBidi"/>
    </w:rPr>
    <w:tblPr>
      <w:tblStyleRowBandSize w:val="1"/>
      <w:tblStyleColBandSize w:val="1"/>
      <w:tblBorders>
        <w:top w:val="single" w:sz="4" w:space="0" w:color="87E3DA" w:themeColor="accent6" w:themeTint="99"/>
        <w:left w:val="single" w:sz="4" w:space="0" w:color="87E3DA" w:themeColor="accent6" w:themeTint="99"/>
        <w:bottom w:val="single" w:sz="4" w:space="0" w:color="87E3DA" w:themeColor="accent6" w:themeTint="99"/>
        <w:right w:val="single" w:sz="4" w:space="0" w:color="87E3DA" w:themeColor="accent6" w:themeTint="99"/>
        <w:insideH w:val="single" w:sz="4" w:space="0" w:color="87E3DA" w:themeColor="accent6" w:themeTint="99"/>
        <w:insideV w:val="single" w:sz="4" w:space="0" w:color="87E3DA" w:themeColor="accent6" w:themeTint="99"/>
      </w:tblBorders>
    </w:tblPr>
    <w:tcPr>
      <w:vAlign w:val="center"/>
    </w:tcPr>
    <w:tblStylePr w:type="firstRow">
      <w:rPr>
        <w:b/>
        <w:bCs/>
        <w:color w:val="FFFFFF" w:themeColor="background1"/>
      </w:rPr>
      <w:tblPr/>
      <w:tcPr>
        <w:tcBorders>
          <w:top w:val="single" w:sz="4" w:space="0" w:color="38D1C3" w:themeColor="accent6"/>
          <w:left w:val="single" w:sz="4" w:space="0" w:color="38D1C3" w:themeColor="accent6"/>
          <w:bottom w:val="single" w:sz="4" w:space="0" w:color="38D1C3" w:themeColor="accent6"/>
          <w:right w:val="single" w:sz="4" w:space="0" w:color="38D1C3" w:themeColor="accent6"/>
          <w:insideH w:val="nil"/>
          <w:insideV w:val="nil"/>
        </w:tcBorders>
        <w:shd w:val="clear" w:color="auto" w:fill="38D1C3" w:themeFill="accent6"/>
      </w:tcPr>
    </w:tblStylePr>
    <w:tblStylePr w:type="lastRow">
      <w:rPr>
        <w:b/>
        <w:bCs/>
      </w:rPr>
      <w:tblPr/>
      <w:tcPr>
        <w:tcBorders>
          <w:top w:val="double" w:sz="4" w:space="0" w:color="38D1C3" w:themeColor="accent6"/>
        </w:tcBorders>
      </w:tcPr>
    </w:tblStylePr>
    <w:tblStylePr w:type="firstCol">
      <w:rPr>
        <w:b/>
        <w:bCs/>
      </w:rPr>
    </w:tblStylePr>
    <w:tblStylePr w:type="lastCol">
      <w:rPr>
        <w:b/>
        <w:bCs/>
      </w:rPr>
    </w:tblStylePr>
    <w:tblStylePr w:type="band1Vert">
      <w:tblPr/>
      <w:tcPr>
        <w:shd w:val="clear" w:color="auto" w:fill="D7F5F2" w:themeFill="accent6" w:themeFillTint="33"/>
      </w:tcPr>
    </w:tblStylePr>
    <w:tblStylePr w:type="band1Horz">
      <w:tblPr/>
      <w:tcPr>
        <w:shd w:val="clear" w:color="auto" w:fill="D7F5F2" w:themeFill="accent6" w:themeFillTint="33"/>
      </w:tcPr>
    </w:tblStylePr>
  </w:style>
  <w:style w:type="table" w:styleId="5-3">
    <w:name w:val="Grid Table 5 Dark Accent 3"/>
    <w:basedOn w:val="a2"/>
    <w:uiPriority w:val="50"/>
    <w:rsid w:val="00E907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44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44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44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4485" w:themeFill="accent3"/>
      </w:tcPr>
    </w:tblStylePr>
    <w:tblStylePr w:type="band1Vert">
      <w:tblPr/>
      <w:tcPr>
        <w:shd w:val="clear" w:color="auto" w:fill="F4B4CD" w:themeFill="accent3" w:themeFillTint="66"/>
      </w:tcPr>
    </w:tblStylePr>
    <w:tblStylePr w:type="band1Horz">
      <w:tblPr/>
      <w:tcPr>
        <w:shd w:val="clear" w:color="auto" w:fill="F4B4CD" w:themeFill="accent3" w:themeFillTint="66"/>
      </w:tcPr>
    </w:tblStylePr>
  </w:style>
  <w:style w:type="table" w:styleId="4-3">
    <w:name w:val="Grid Table 4 Accent 3"/>
    <w:basedOn w:val="a2"/>
    <w:uiPriority w:val="49"/>
    <w:rsid w:val="00E907DD"/>
    <w:tblPr>
      <w:tblStyleRowBandSize w:val="1"/>
      <w:tblStyleColBandSize w:val="1"/>
      <w:tblBorders>
        <w:top w:val="single" w:sz="4" w:space="0" w:color="EF8EB5" w:themeColor="accent3" w:themeTint="99"/>
        <w:left w:val="single" w:sz="4" w:space="0" w:color="EF8EB5" w:themeColor="accent3" w:themeTint="99"/>
        <w:bottom w:val="single" w:sz="4" w:space="0" w:color="EF8EB5" w:themeColor="accent3" w:themeTint="99"/>
        <w:right w:val="single" w:sz="4" w:space="0" w:color="EF8EB5" w:themeColor="accent3" w:themeTint="99"/>
        <w:insideH w:val="single" w:sz="4" w:space="0" w:color="EF8EB5" w:themeColor="accent3" w:themeTint="99"/>
        <w:insideV w:val="single" w:sz="4" w:space="0" w:color="EF8EB5" w:themeColor="accent3" w:themeTint="99"/>
      </w:tblBorders>
    </w:tblPr>
    <w:tblStylePr w:type="firstRow">
      <w:rPr>
        <w:b/>
        <w:bCs/>
        <w:color w:val="FFFFFF" w:themeColor="background1"/>
      </w:rPr>
      <w:tblPr/>
      <w:tcPr>
        <w:tcBorders>
          <w:top w:val="single" w:sz="4" w:space="0" w:color="E54485" w:themeColor="accent3"/>
          <w:left w:val="single" w:sz="4" w:space="0" w:color="E54485" w:themeColor="accent3"/>
          <w:bottom w:val="single" w:sz="4" w:space="0" w:color="E54485" w:themeColor="accent3"/>
          <w:right w:val="single" w:sz="4" w:space="0" w:color="E54485" w:themeColor="accent3"/>
          <w:insideH w:val="nil"/>
          <w:insideV w:val="nil"/>
        </w:tcBorders>
        <w:shd w:val="clear" w:color="auto" w:fill="E54485" w:themeFill="accent3"/>
      </w:tcPr>
    </w:tblStylePr>
    <w:tblStylePr w:type="lastRow">
      <w:rPr>
        <w:b/>
        <w:bCs/>
      </w:rPr>
      <w:tblPr/>
      <w:tcPr>
        <w:tcBorders>
          <w:top w:val="double" w:sz="4" w:space="0" w:color="E54485" w:themeColor="accent3"/>
        </w:tcBorders>
      </w:tcPr>
    </w:tblStylePr>
    <w:tblStylePr w:type="firstCol">
      <w:rPr>
        <w:b/>
        <w:bCs/>
      </w:rPr>
    </w:tblStylePr>
    <w:tblStylePr w:type="lastCol">
      <w:rPr>
        <w:b/>
        <w:bCs/>
      </w:rPr>
    </w:tblStylePr>
    <w:tblStylePr w:type="band1Vert">
      <w:tblPr/>
      <w:tcPr>
        <w:shd w:val="clear" w:color="auto" w:fill="F9D9E6" w:themeFill="accent3" w:themeFillTint="33"/>
      </w:tcPr>
    </w:tblStylePr>
    <w:tblStylePr w:type="band1Horz">
      <w:tblPr/>
      <w:tcPr>
        <w:shd w:val="clear" w:color="auto" w:fill="F9D9E6" w:themeFill="accent3" w:themeFillTint="33"/>
      </w:tcPr>
    </w:tblStylePr>
  </w:style>
  <w:style w:type="character" w:styleId="af">
    <w:name w:val="Strong"/>
    <w:basedOn w:val="a1"/>
    <w:uiPriority w:val="22"/>
    <w:qFormat/>
    <w:rsid w:val="00CB0861"/>
    <w:rPr>
      <w:b/>
      <w:bCs/>
    </w:rPr>
  </w:style>
  <w:style w:type="character" w:styleId="FollowedHyperlink">
    <w:name w:val="FollowedHyperlink"/>
    <w:basedOn w:val="a1"/>
    <w:uiPriority w:val="99"/>
    <w:semiHidden/>
    <w:unhideWhenUsed/>
    <w:rsid w:val="00FA4A14"/>
    <w:rPr>
      <w:color w:val="00FF86" w:themeColor="followedHyperlink"/>
      <w:u w:val="single"/>
    </w:rPr>
  </w:style>
  <w:style w:type="paragraph" w:customStyle="1" w:styleId="Footer-coverpage">
    <w:name w:val="Footer - cover page"/>
    <w:basedOn w:val="a6"/>
    <w:qFormat/>
    <w:rsid w:val="00FA4A14"/>
    <w:pPr>
      <w:jc w:val="center"/>
    </w:pPr>
    <w:rPr>
      <w:rFonts w:cs="Arial"/>
      <w:sz w:val="19"/>
      <w:szCs w:val="19"/>
    </w:rPr>
  </w:style>
  <w:style w:type="table" w:styleId="4-2">
    <w:name w:val="Grid Table 4 Accent 2"/>
    <w:basedOn w:val="a2"/>
    <w:uiPriority w:val="49"/>
    <w:rsid w:val="00BA13F3"/>
    <w:tblPr>
      <w:tblStyleRowBandSize w:val="1"/>
      <w:tblStyleColBandSize w:val="1"/>
      <w:tblBorders>
        <w:top w:val="single" w:sz="4" w:space="0" w:color="00FF87" w:themeColor="accent2"/>
        <w:left w:val="single" w:sz="4" w:space="0" w:color="00FF87" w:themeColor="accent2"/>
        <w:bottom w:val="single" w:sz="4" w:space="0" w:color="00FF87" w:themeColor="accent2"/>
        <w:right w:val="single" w:sz="4" w:space="0" w:color="00FF87" w:themeColor="accent2"/>
        <w:insideH w:val="single" w:sz="4" w:space="0" w:color="00FF87" w:themeColor="accent2"/>
        <w:insideV w:val="single" w:sz="4" w:space="0" w:color="00FF87" w:themeColor="accent2"/>
      </w:tblBorders>
    </w:tblPr>
    <w:tblStylePr w:type="firstRow">
      <w:rPr>
        <w:b/>
        <w:bCs/>
        <w:color w:val="FFFFFF" w:themeColor="background1"/>
      </w:rPr>
      <w:tblPr/>
      <w:tcPr>
        <w:tcBorders>
          <w:top w:val="single" w:sz="4" w:space="0" w:color="00FF87" w:themeColor="accent2"/>
          <w:left w:val="single" w:sz="4" w:space="0" w:color="00FF87" w:themeColor="accent2"/>
          <w:bottom w:val="single" w:sz="4" w:space="0" w:color="00FF87" w:themeColor="accent2"/>
          <w:right w:val="single" w:sz="4" w:space="0" w:color="00FF87" w:themeColor="accent2"/>
          <w:insideH w:val="nil"/>
          <w:insideV w:val="nil"/>
        </w:tcBorders>
        <w:shd w:val="clear" w:color="auto" w:fill="00FF87" w:themeFill="accent2"/>
      </w:tcPr>
    </w:tblStylePr>
    <w:tblStylePr w:type="lastRow">
      <w:rPr>
        <w:b/>
        <w:bCs/>
      </w:rPr>
      <w:tblPr/>
      <w:tcPr>
        <w:tcBorders>
          <w:top w:val="double" w:sz="4" w:space="0" w:color="00FF87" w:themeColor="accent2"/>
        </w:tcBorders>
      </w:tcPr>
    </w:tblStylePr>
    <w:tblStylePr w:type="firstCol">
      <w:rPr>
        <w:b/>
        <w:bCs/>
      </w:rPr>
    </w:tblStylePr>
    <w:tblStylePr w:type="lastCol">
      <w:rPr>
        <w:b/>
        <w:bCs/>
      </w:rPr>
    </w:tblStylePr>
    <w:tblStylePr w:type="band1Vert">
      <w:tblPr/>
      <w:tcPr>
        <w:shd w:val="clear" w:color="auto" w:fill="CCFFE7" w:themeFill="accent2" w:themeFillTint="33"/>
      </w:tcPr>
    </w:tblStylePr>
    <w:tblStylePr w:type="band1Horz">
      <w:tblPr/>
      <w:tcPr>
        <w:shd w:val="clear" w:color="auto" w:fill="CCFFE7" w:themeFill="accent2" w:themeFillTint="33"/>
      </w:tcPr>
    </w:tblStylePr>
  </w:style>
  <w:style w:type="paragraph" w:customStyle="1" w:styleId="SmallMarkedTitle">
    <w:name w:val="Small Marked Title"/>
    <w:basedOn w:val="a0"/>
    <w:qFormat/>
    <w:rsid w:val="0082376A"/>
    <w:pPr>
      <w:shd w:val="clear" w:color="auto" w:fill="AFECE6" w:themeFill="accent6" w:themeFillTint="66"/>
    </w:pPr>
    <w:rPr>
      <w:bCs/>
      <w:color w:val="000000" w:themeColor="text1"/>
    </w:rPr>
  </w:style>
  <w:style w:type="paragraph" w:customStyle="1" w:styleId="Tabletext">
    <w:name w:val="Table text"/>
    <w:basedOn w:val="a0"/>
    <w:qFormat/>
    <w:rsid w:val="00366791"/>
    <w:pPr>
      <w:jc w:val="center"/>
    </w:pPr>
  </w:style>
  <w:style w:type="paragraph" w:customStyle="1" w:styleId="Subtitlecolor">
    <w:name w:val="Subtitle color"/>
    <w:basedOn w:val="ac"/>
    <w:qFormat/>
    <w:rsid w:val="009109DF"/>
    <w:rPr>
      <w:color w:val="38D1C3" w:themeColor="accent6"/>
    </w:rPr>
  </w:style>
  <w:style w:type="paragraph" w:customStyle="1" w:styleId="11">
    <w:name w:val="ציטטה 1"/>
    <w:basedOn w:val="a0"/>
    <w:rsid w:val="009109DF"/>
    <w:pPr>
      <w:spacing w:after="200" w:line="360" w:lineRule="auto"/>
      <w:ind w:left="1134" w:right="567"/>
      <w:jc w:val="both"/>
    </w:pPr>
    <w:rPr>
      <w:rFonts w:ascii="Times New Roman" w:eastAsia="Times New Roman" w:hAnsi="Times New Roman" w:cs="Times New Roman"/>
      <w:b/>
      <w:bCs/>
      <w:i/>
      <w:iCs/>
      <w:spacing w:val="10"/>
    </w:rPr>
  </w:style>
  <w:style w:type="character" w:styleId="HTMLDefinition">
    <w:name w:val="HTML Definition"/>
    <w:basedOn w:val="a1"/>
    <w:rsid w:val="009109DF"/>
    <w:rPr>
      <w:rFonts w:ascii="Times New Roman" w:hAnsi="Times New Roman" w:cs="Times New Roman"/>
      <w:i/>
      <w:iCs/>
    </w:rPr>
  </w:style>
  <w:style w:type="character" w:styleId="af0">
    <w:name w:val="Subtle Emphasis"/>
    <w:basedOn w:val="a1"/>
    <w:uiPriority w:val="19"/>
    <w:qFormat/>
    <w:rsid w:val="00F34D75"/>
    <w:rPr>
      <w:i/>
      <w:iCs/>
      <w:color w:val="404040" w:themeColor="text1" w:themeTint="BF"/>
    </w:rPr>
  </w:style>
  <w:style w:type="character" w:styleId="af1">
    <w:name w:val="Subtle Reference"/>
    <w:basedOn w:val="a1"/>
    <w:uiPriority w:val="31"/>
    <w:qFormat/>
    <w:rsid w:val="00F34D75"/>
    <w:rPr>
      <w:smallCaps/>
      <w:color w:val="5A5A5A" w:themeColor="text1" w:themeTint="A5"/>
    </w:rPr>
  </w:style>
  <w:style w:type="character" w:styleId="af2">
    <w:name w:val="page number"/>
    <w:basedOn w:val="a1"/>
    <w:uiPriority w:val="99"/>
    <w:semiHidden/>
    <w:unhideWhenUsed/>
    <w:rsid w:val="000D43C5"/>
  </w:style>
  <w:style w:type="table" w:styleId="4-5">
    <w:name w:val="Grid Table 4 Accent 5"/>
    <w:basedOn w:val="a2"/>
    <w:uiPriority w:val="49"/>
    <w:rsid w:val="00146972"/>
    <w:tblPr>
      <w:tblStyleRowBandSize w:val="1"/>
      <w:tblStyleColBandSize w:val="1"/>
      <w:tblBorders>
        <w:top w:val="single" w:sz="4" w:space="0" w:color="D9B1F2" w:themeColor="accent5" w:themeTint="99"/>
        <w:left w:val="single" w:sz="4" w:space="0" w:color="D9B1F2" w:themeColor="accent5" w:themeTint="99"/>
        <w:bottom w:val="single" w:sz="4" w:space="0" w:color="D9B1F2" w:themeColor="accent5" w:themeTint="99"/>
        <w:right w:val="single" w:sz="4" w:space="0" w:color="D9B1F2" w:themeColor="accent5" w:themeTint="99"/>
        <w:insideH w:val="single" w:sz="4" w:space="0" w:color="D9B1F2" w:themeColor="accent5" w:themeTint="99"/>
        <w:insideV w:val="single" w:sz="4" w:space="0" w:color="D9B1F2" w:themeColor="accent5" w:themeTint="99"/>
      </w:tblBorders>
    </w:tblPr>
    <w:tblStylePr w:type="firstRow">
      <w:rPr>
        <w:b/>
        <w:bCs/>
        <w:color w:val="FFFFFF" w:themeColor="background1"/>
      </w:rPr>
      <w:tblPr/>
      <w:tcPr>
        <w:tcBorders>
          <w:top w:val="single" w:sz="4" w:space="0" w:color="C07EEA" w:themeColor="accent5"/>
          <w:left w:val="single" w:sz="4" w:space="0" w:color="C07EEA" w:themeColor="accent5"/>
          <w:bottom w:val="single" w:sz="4" w:space="0" w:color="C07EEA" w:themeColor="accent5"/>
          <w:right w:val="single" w:sz="4" w:space="0" w:color="C07EEA" w:themeColor="accent5"/>
          <w:insideH w:val="nil"/>
          <w:insideV w:val="nil"/>
        </w:tcBorders>
        <w:shd w:val="clear" w:color="auto" w:fill="C07EEA" w:themeFill="accent5"/>
      </w:tcPr>
    </w:tblStylePr>
    <w:tblStylePr w:type="lastRow">
      <w:rPr>
        <w:b/>
        <w:bCs/>
      </w:rPr>
      <w:tblPr/>
      <w:tcPr>
        <w:tcBorders>
          <w:top w:val="double" w:sz="4" w:space="0" w:color="C07EEA" w:themeColor="accent5"/>
        </w:tcBorders>
      </w:tcPr>
    </w:tblStylePr>
    <w:tblStylePr w:type="firstCol">
      <w:rPr>
        <w:b/>
        <w:bCs/>
      </w:rPr>
    </w:tblStylePr>
    <w:tblStylePr w:type="lastCol">
      <w:rPr>
        <w:b/>
        <w:bCs/>
      </w:rPr>
    </w:tblStylePr>
    <w:tblStylePr w:type="band1Vert">
      <w:tblPr/>
      <w:tcPr>
        <w:shd w:val="clear" w:color="auto" w:fill="F2E5FA" w:themeFill="accent5" w:themeFillTint="33"/>
      </w:tcPr>
    </w:tblStylePr>
    <w:tblStylePr w:type="band1Horz">
      <w:tblPr/>
      <w:tcPr>
        <w:shd w:val="clear" w:color="auto" w:fill="F2E5FA" w:themeFill="accent5" w:themeFillTint="33"/>
      </w:tcPr>
    </w:tblStylePr>
  </w:style>
  <w:style w:type="table" w:styleId="4-4">
    <w:name w:val="Grid Table 4 Accent 4"/>
    <w:basedOn w:val="a2"/>
    <w:uiPriority w:val="49"/>
    <w:rsid w:val="00146972"/>
    <w:tblPr>
      <w:tblStyleRowBandSize w:val="1"/>
      <w:tblStyleColBandSize w:val="1"/>
      <w:tblBorders>
        <w:top w:val="single" w:sz="4" w:space="0" w:color="9BA7FF" w:themeColor="accent4" w:themeTint="99"/>
        <w:left w:val="single" w:sz="4" w:space="0" w:color="9BA7FF" w:themeColor="accent4" w:themeTint="99"/>
        <w:bottom w:val="single" w:sz="4" w:space="0" w:color="9BA7FF" w:themeColor="accent4" w:themeTint="99"/>
        <w:right w:val="single" w:sz="4" w:space="0" w:color="9BA7FF" w:themeColor="accent4" w:themeTint="99"/>
        <w:insideH w:val="single" w:sz="4" w:space="0" w:color="9BA7FF" w:themeColor="accent4" w:themeTint="99"/>
        <w:insideV w:val="single" w:sz="4" w:space="0" w:color="9BA7FF" w:themeColor="accent4" w:themeTint="99"/>
      </w:tblBorders>
    </w:tblPr>
    <w:tblStylePr w:type="firstRow">
      <w:rPr>
        <w:b/>
        <w:bCs/>
        <w:color w:val="FFFFFF" w:themeColor="background1"/>
      </w:rPr>
      <w:tblPr/>
      <w:tcPr>
        <w:tcBorders>
          <w:top w:val="single" w:sz="4" w:space="0" w:color="596DFF" w:themeColor="accent4"/>
          <w:left w:val="single" w:sz="4" w:space="0" w:color="596DFF" w:themeColor="accent4"/>
          <w:bottom w:val="single" w:sz="4" w:space="0" w:color="596DFF" w:themeColor="accent4"/>
          <w:right w:val="single" w:sz="4" w:space="0" w:color="596DFF" w:themeColor="accent4"/>
          <w:insideH w:val="nil"/>
          <w:insideV w:val="nil"/>
        </w:tcBorders>
        <w:shd w:val="clear" w:color="auto" w:fill="596DFF" w:themeFill="accent4"/>
      </w:tcPr>
    </w:tblStylePr>
    <w:tblStylePr w:type="lastRow">
      <w:rPr>
        <w:b/>
        <w:bCs/>
      </w:rPr>
      <w:tblPr/>
      <w:tcPr>
        <w:tcBorders>
          <w:top w:val="double" w:sz="4" w:space="0" w:color="596DFF" w:themeColor="accent4"/>
        </w:tcBorders>
      </w:tcPr>
    </w:tblStylePr>
    <w:tblStylePr w:type="firstCol">
      <w:rPr>
        <w:b/>
        <w:bCs/>
      </w:rPr>
    </w:tblStylePr>
    <w:tblStylePr w:type="lastCol">
      <w:rPr>
        <w:b/>
        <w:bCs/>
      </w:rPr>
    </w:tblStylePr>
    <w:tblStylePr w:type="band1Vert">
      <w:tblPr/>
      <w:tcPr>
        <w:shd w:val="clear" w:color="auto" w:fill="DDE1FF" w:themeFill="accent4" w:themeFillTint="33"/>
      </w:tcPr>
    </w:tblStylePr>
    <w:tblStylePr w:type="band1Horz">
      <w:tblPr/>
      <w:tcPr>
        <w:shd w:val="clear" w:color="auto" w:fill="DDE1FF" w:themeFill="accent4" w:themeFillTint="33"/>
      </w:tcPr>
    </w:tblStylePr>
  </w:style>
  <w:style w:type="table" w:styleId="3-6">
    <w:name w:val="Grid Table 3 Accent 6"/>
    <w:basedOn w:val="a2"/>
    <w:uiPriority w:val="48"/>
    <w:rsid w:val="00146972"/>
    <w:tblPr>
      <w:tblStyleRowBandSize w:val="1"/>
      <w:tblStyleColBandSize w:val="1"/>
      <w:tblBorders>
        <w:top w:val="single" w:sz="4" w:space="0" w:color="87E3DA" w:themeColor="accent6" w:themeTint="99"/>
        <w:left w:val="single" w:sz="4" w:space="0" w:color="87E3DA" w:themeColor="accent6" w:themeTint="99"/>
        <w:bottom w:val="single" w:sz="4" w:space="0" w:color="87E3DA" w:themeColor="accent6" w:themeTint="99"/>
        <w:right w:val="single" w:sz="4" w:space="0" w:color="87E3DA" w:themeColor="accent6" w:themeTint="99"/>
        <w:insideH w:val="single" w:sz="4" w:space="0" w:color="87E3DA" w:themeColor="accent6" w:themeTint="99"/>
        <w:insideV w:val="single" w:sz="4" w:space="0" w:color="87E3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5F2" w:themeFill="accent6" w:themeFillTint="33"/>
      </w:tcPr>
    </w:tblStylePr>
    <w:tblStylePr w:type="band1Horz">
      <w:tblPr/>
      <w:tcPr>
        <w:shd w:val="clear" w:color="auto" w:fill="D7F5F2" w:themeFill="accent6" w:themeFillTint="33"/>
      </w:tcPr>
    </w:tblStylePr>
    <w:tblStylePr w:type="neCell">
      <w:tblPr/>
      <w:tcPr>
        <w:tcBorders>
          <w:bottom w:val="single" w:sz="4" w:space="0" w:color="87E3DA" w:themeColor="accent6" w:themeTint="99"/>
        </w:tcBorders>
      </w:tcPr>
    </w:tblStylePr>
    <w:tblStylePr w:type="nwCell">
      <w:tblPr/>
      <w:tcPr>
        <w:tcBorders>
          <w:bottom w:val="single" w:sz="4" w:space="0" w:color="87E3DA" w:themeColor="accent6" w:themeTint="99"/>
        </w:tcBorders>
      </w:tcPr>
    </w:tblStylePr>
    <w:tblStylePr w:type="seCell">
      <w:tblPr/>
      <w:tcPr>
        <w:tcBorders>
          <w:top w:val="single" w:sz="4" w:space="0" w:color="87E3DA" w:themeColor="accent6" w:themeTint="99"/>
        </w:tcBorders>
      </w:tcPr>
    </w:tblStylePr>
    <w:tblStylePr w:type="swCell">
      <w:tblPr/>
      <w:tcPr>
        <w:tcBorders>
          <w:top w:val="single" w:sz="4" w:space="0" w:color="87E3DA" w:themeColor="accent6" w:themeTint="99"/>
        </w:tcBorders>
      </w:tcPr>
    </w:tblStylePr>
  </w:style>
  <w:style w:type="table" w:styleId="5-6">
    <w:name w:val="Grid Table 5 Dark Accent 6"/>
    <w:basedOn w:val="a2"/>
    <w:uiPriority w:val="50"/>
    <w:rsid w:val="001469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5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D1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D1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D1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D1C3" w:themeFill="accent6"/>
      </w:tcPr>
    </w:tblStylePr>
    <w:tblStylePr w:type="band1Vert">
      <w:tblPr/>
      <w:tcPr>
        <w:shd w:val="clear" w:color="auto" w:fill="AFECE6" w:themeFill="accent6" w:themeFillTint="66"/>
      </w:tcPr>
    </w:tblStylePr>
    <w:tblStylePr w:type="band1Horz">
      <w:tblPr/>
      <w:tcPr>
        <w:shd w:val="clear" w:color="auto" w:fill="AFECE6" w:themeFill="accent6" w:themeFillTint="66"/>
      </w:tcPr>
    </w:tblStylePr>
  </w:style>
  <w:style w:type="table" w:styleId="5-1">
    <w:name w:val="Grid Table 5 Dark Accent 1"/>
    <w:basedOn w:val="a2"/>
    <w:uiPriority w:val="50"/>
    <w:rsid w:val="001469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FF" w:themeFill="accent1"/>
      </w:tcPr>
    </w:tblStylePr>
    <w:tblStylePr w:type="band1Vert">
      <w:tblPr/>
      <w:tcPr>
        <w:shd w:val="clear" w:color="auto" w:fill="C3EEFF" w:themeFill="accent1" w:themeFillTint="66"/>
      </w:tcPr>
    </w:tblStylePr>
    <w:tblStylePr w:type="band1Horz">
      <w:tblPr/>
      <w:tcPr>
        <w:shd w:val="clear" w:color="auto" w:fill="C3EEFF" w:themeFill="accent1" w:themeFillTint="66"/>
      </w:tcPr>
    </w:tblStylePr>
  </w:style>
  <w:style w:type="table" w:styleId="5-2">
    <w:name w:val="Grid Table 5 Dark Accent 2"/>
    <w:basedOn w:val="a2"/>
    <w:uiPriority w:val="50"/>
    <w:rsid w:val="001469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F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FF8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FF8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FF8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FF87" w:themeFill="accent2"/>
      </w:tcPr>
    </w:tblStylePr>
    <w:tblStylePr w:type="band1Vert">
      <w:tblPr/>
      <w:tcPr>
        <w:shd w:val="clear" w:color="auto" w:fill="99FFCF" w:themeFill="accent2" w:themeFillTint="66"/>
      </w:tcPr>
    </w:tblStylePr>
    <w:tblStylePr w:type="band1Horz">
      <w:tblPr/>
      <w:tcPr>
        <w:shd w:val="clear" w:color="auto" w:fill="99FFCF" w:themeFill="accent2" w:themeFillTint="66"/>
      </w:tcPr>
    </w:tblStylePr>
  </w:style>
  <w:style w:type="table" w:styleId="4-1">
    <w:name w:val="Grid Table 4 Accent 1"/>
    <w:basedOn w:val="a2"/>
    <w:uiPriority w:val="49"/>
    <w:rsid w:val="00682434"/>
    <w:tblPr>
      <w:tblStyleRowBandSize w:val="1"/>
      <w:tblStyleColBandSize w:val="1"/>
      <w:tblBorders>
        <w:top w:val="single" w:sz="4" w:space="0" w:color="A5E5FF" w:themeColor="accent1" w:themeTint="99"/>
        <w:left w:val="single" w:sz="4" w:space="0" w:color="A5E5FF" w:themeColor="accent1" w:themeTint="99"/>
        <w:bottom w:val="single" w:sz="4" w:space="0" w:color="A5E5FF" w:themeColor="accent1" w:themeTint="99"/>
        <w:right w:val="single" w:sz="4" w:space="0" w:color="A5E5FF" w:themeColor="accent1" w:themeTint="99"/>
        <w:insideH w:val="single" w:sz="4" w:space="0" w:color="A5E5FF" w:themeColor="accent1" w:themeTint="99"/>
        <w:insideV w:val="single" w:sz="4" w:space="0" w:color="A5E5FF" w:themeColor="accent1" w:themeTint="99"/>
      </w:tblBorders>
    </w:tblPr>
    <w:tblStylePr w:type="firstRow">
      <w:rPr>
        <w:b/>
        <w:bCs/>
        <w:color w:val="FFFFFF" w:themeColor="background1"/>
      </w:rPr>
      <w:tblPr/>
      <w:tcPr>
        <w:tcBorders>
          <w:top w:val="single" w:sz="4" w:space="0" w:color="69D5FF" w:themeColor="accent1"/>
          <w:left w:val="single" w:sz="4" w:space="0" w:color="69D5FF" w:themeColor="accent1"/>
          <w:bottom w:val="single" w:sz="4" w:space="0" w:color="69D5FF" w:themeColor="accent1"/>
          <w:right w:val="single" w:sz="4" w:space="0" w:color="69D5FF" w:themeColor="accent1"/>
          <w:insideH w:val="nil"/>
          <w:insideV w:val="nil"/>
        </w:tcBorders>
        <w:shd w:val="clear" w:color="auto" w:fill="69D5FF" w:themeFill="accent1"/>
      </w:tcPr>
    </w:tblStylePr>
    <w:tblStylePr w:type="lastRow">
      <w:rPr>
        <w:b/>
        <w:bCs/>
      </w:rPr>
      <w:tblPr/>
      <w:tcPr>
        <w:tcBorders>
          <w:top w:val="double" w:sz="4" w:space="0" w:color="69D5FF" w:themeColor="accent1"/>
        </w:tcBorders>
      </w:tcPr>
    </w:tblStylePr>
    <w:tblStylePr w:type="firstCol">
      <w:rPr>
        <w:b/>
        <w:bCs/>
      </w:rPr>
    </w:tblStylePr>
    <w:tblStylePr w:type="lastCol">
      <w:rPr>
        <w:b/>
        <w:bCs/>
      </w:rPr>
    </w:tblStylePr>
    <w:tblStylePr w:type="band1Vert">
      <w:tblPr/>
      <w:tcPr>
        <w:shd w:val="clear" w:color="auto" w:fill="E1F6FF" w:themeFill="accent1" w:themeFillTint="33"/>
      </w:tcPr>
    </w:tblStylePr>
    <w:tblStylePr w:type="band1Horz">
      <w:tblPr/>
      <w:tcPr>
        <w:shd w:val="clear" w:color="auto" w:fill="E1F6FF" w:themeFill="accent1" w:themeFillTint="33"/>
      </w:tcPr>
    </w:tblStylePr>
  </w:style>
  <w:style w:type="paragraph" w:styleId="af3">
    <w:name w:val="Balloon Text"/>
    <w:basedOn w:val="a0"/>
    <w:link w:val="af4"/>
    <w:uiPriority w:val="99"/>
    <w:semiHidden/>
    <w:unhideWhenUsed/>
    <w:rsid w:val="001B3EF1"/>
    <w:rPr>
      <w:rFonts w:ascii="Times New Roman" w:hAnsi="Times New Roman" w:cs="Times New Roman"/>
      <w:sz w:val="18"/>
      <w:szCs w:val="18"/>
    </w:rPr>
  </w:style>
  <w:style w:type="character" w:customStyle="1" w:styleId="af4">
    <w:name w:val="טקסט בלונים תו"/>
    <w:basedOn w:val="a1"/>
    <w:link w:val="af3"/>
    <w:uiPriority w:val="99"/>
    <w:semiHidden/>
    <w:rsid w:val="001B3EF1"/>
    <w:rPr>
      <w:rFonts w:ascii="Times New Roman" w:hAnsi="Times New Roman" w:cs="Times New Roman"/>
      <w:sz w:val="18"/>
      <w:szCs w:val="18"/>
    </w:rPr>
  </w:style>
  <w:style w:type="paragraph" w:customStyle="1" w:styleId="SectionSubtitle">
    <w:name w:val="Section Subtitle"/>
    <w:basedOn w:val="2"/>
    <w:qFormat/>
    <w:rsid w:val="00DB5332"/>
    <w:pPr>
      <w:keepNext w:val="0"/>
      <w:keepLines w:val="0"/>
      <w:spacing w:before="0"/>
    </w:pPr>
    <w:rPr>
      <w:rFonts w:asciiTheme="minorBidi" w:eastAsiaTheme="minorHAnsi" w:hAnsiTheme="minorBidi" w:cstheme="minorBidi"/>
      <w:b/>
      <w:bCs/>
      <w:color w:val="000000" w:themeColor="text1"/>
      <w:sz w:val="32"/>
      <w:szCs w:val="32"/>
    </w:rPr>
  </w:style>
  <w:style w:type="character" w:customStyle="1" w:styleId="20">
    <w:name w:val="כותרת 2 תו"/>
    <w:basedOn w:val="a1"/>
    <w:link w:val="2"/>
    <w:uiPriority w:val="9"/>
    <w:semiHidden/>
    <w:rsid w:val="00DB5332"/>
    <w:rPr>
      <w:rFonts w:asciiTheme="majorHAnsi" w:eastAsiaTheme="majorEastAsia" w:hAnsiTheme="majorHAnsi" w:cstheme="majorBidi"/>
      <w:color w:val="0EBBF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lue\Marketing\chen-es\Marketing%20Kit\Word_Templets\One%20Word%20Template%20_General%20101119.dotx" TargetMode="External"/></Relationships>
</file>

<file path=word/theme/theme1.xml><?xml version="1.0" encoding="utf-8"?>
<a:theme xmlns:a="http://schemas.openxmlformats.org/drawingml/2006/main" name="ONE Theme">
  <a:themeElements>
    <a:clrScheme name="ONE">
      <a:dk1>
        <a:srgbClr val="000000"/>
      </a:dk1>
      <a:lt1>
        <a:srgbClr val="FFFFFF"/>
      </a:lt1>
      <a:dk2>
        <a:srgbClr val="000000"/>
      </a:dk2>
      <a:lt2>
        <a:srgbClr val="FFFFFF"/>
      </a:lt2>
      <a:accent1>
        <a:srgbClr val="69D5FF"/>
      </a:accent1>
      <a:accent2>
        <a:srgbClr val="00FF87"/>
      </a:accent2>
      <a:accent3>
        <a:srgbClr val="E54485"/>
      </a:accent3>
      <a:accent4>
        <a:srgbClr val="596DFF"/>
      </a:accent4>
      <a:accent5>
        <a:srgbClr val="C07EEA"/>
      </a:accent5>
      <a:accent6>
        <a:srgbClr val="38D1C3"/>
      </a:accent6>
      <a:hlink>
        <a:srgbClr val="69D4FF"/>
      </a:hlink>
      <a:folHlink>
        <a:srgbClr val="00FF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NE Theme" id="{6A8E6E50-6F8B-824E-BF77-6478EF942E9D}" vid="{D757C9B9-8F52-354A-A624-97E326C351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AC8E-39D1-40C2-BCFE-49E360D9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Word Template _General 101119</Template>
  <TotalTime>1</TotalTime>
  <Pages>5</Pages>
  <Words>1408</Words>
  <Characters>8032</Characters>
  <Application>Microsoft Office Word</Application>
  <DocSecurity>0</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Rosenthal</dc:creator>
  <cp:keywords/>
  <dc:description/>
  <cp:lastModifiedBy>Ruthie Rosenthal</cp:lastModifiedBy>
  <cp:revision>1</cp:revision>
  <cp:lastPrinted>2019-10-30T08:31:00Z</cp:lastPrinted>
  <dcterms:created xsi:type="dcterms:W3CDTF">2020-05-17T06:36:00Z</dcterms:created>
  <dcterms:modified xsi:type="dcterms:W3CDTF">2020-05-17T06:37:00Z</dcterms:modified>
</cp:coreProperties>
</file>